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footer5.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a9"/>
        <w:jc w:val="right"/>
        <w:rPr>
          <w:rFonts w:ascii="Times New Roman" w:hAnsi="Times New Roman"/>
        </w:rPr>
      </w:pPr>
      <w:r>
        <w:rPr>
          <w:rFonts w:ascii="Times New Roman" w:hAnsi="Times New Roman"/>
        </w:rPr>
        <w:t xml:space="preserve">Приложение № 5</w:t>
      </w:r>
      <w:r>
        <w:rPr>
          <w:rFonts w:ascii="Times New Roman" w:hAnsi="Times New Roman"/>
        </w:rPr>
        <w:t xml:space="preserve"> </w:t>
      </w:r>
    </w:p>
    <w:p>
      <w:pPr>
        <w:pStyle w:val="a9"/>
        <w:jc w:val="right"/>
        <w:rPr>
          <w:rFonts w:ascii="Times New Roman" w:hAnsi="Times New Roman"/>
        </w:rPr>
      </w:pPr>
      <w:r>
        <w:rPr>
          <w:rFonts w:ascii="Times New Roman" w:hAnsi="Times New Roman"/>
        </w:rPr>
        <w:t xml:space="preserve">к программе проведения оценки обеспечения </w:t>
      </w:r>
    </w:p>
    <w:p>
      <w:pPr>
        <w:pStyle w:val="a9"/>
        <w:jc w:val="right"/>
        <w:rPr>
          <w:rFonts w:ascii="Times New Roman" w:hAnsi="Times New Roman"/>
        </w:rPr>
      </w:pPr>
      <w:r>
        <w:rPr>
          <w:rFonts w:ascii="Times New Roman" w:hAnsi="Times New Roman"/>
        </w:rPr>
        <w:t xml:space="preserve">готовности муниципальных образований</w:t>
      </w:r>
    </w:p>
    <w:p>
      <w:pPr>
        <w:pStyle w:val="a9"/>
        <w:jc w:val="right"/>
      </w:pPr>
      <w:r>
        <w:rPr>
          <w:rFonts w:ascii="Times New Roman" w:hAnsi="Times New Roman"/>
        </w:rPr>
        <w:t xml:space="preserve">к отопительному периоду</w:t>
      </w:r>
    </w:p>
    <w:p>
      <w:pPr>
        <w:pStyle w:val="ConsPlusNormal0"/>
        <w:ind w:firstLine="540"/>
        <w:jc w:val="both"/>
      </w:pPr>
    </w:p>
    <w:p>
      <w:pPr>
        <w:pStyle w:val="ConsPlusNormal0"/>
        <w:jc w:val="right"/>
      </w:pPr>
    </w:p>
    <w:p>
      <w:pPr>
        <w:pStyle w:val="ConsPlusNormal0"/>
        <w:ind w:firstLine="540"/>
        <w:jc w:val="both"/>
      </w:pPr>
    </w:p>
    <w:p>
      <w:pPr>
        <w:pStyle w:val="ConsPlusNormal0"/>
        <w:jc w:val="center"/>
      </w:pPr>
      <w:bookmarkStart w:id="0" w:name="P445"/>
      <w:bookmarkEnd w:id="0"/>
      <w:r>
        <w:t xml:space="preserve">Оценочный лист</w:t>
      </w:r>
    </w:p>
    <w:p>
      <w:pPr>
        <w:pStyle w:val="ConsPlusNormal0"/>
        <w:jc w:val="center"/>
      </w:pPr>
      <w:r>
        <w:t xml:space="preserve">для расчета индекса готовности к отопительному периоду</w:t>
      </w:r>
    </w:p>
    <w:p>
      <w:pPr>
        <w:pStyle w:val="ConsPlusNormal0"/>
        <w:jc w:val="center"/>
      </w:pPr>
      <w:r>
        <w:t xml:space="preserve">муниципального образования</w:t>
      </w:r>
    </w:p>
    <w:p>
      <w:pPr>
        <w:pStyle w:val="ConsPlusNormal0"/>
        <w:ind w:firstLine="540"/>
        <w:jc w:val="both"/>
      </w:pPr>
    </w:p>
    <w:p>
      <w:pPr>
        <w:pStyle w:val="ConsPlusNormal0"/>
        <w:sectPr>
          <w:headerReference w:type="default" r:id="rId8"/>
          <w:footerReference w:type="default" r:id="rId13"/>
          <w:pgSz w:w="11906" w:h="16838"/>
          <w:pgMar w:top="1440" w:right="566" w:bottom="1440" w:left="1133" w:header="0" w:footer="0" w:gutter="0"/>
          <w:cols w:space="720"/>
          <w:docGrid w:linePitch="360"/>
          <w:titlePg/>
        </w:sect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62" w:type="dxa"/>
          <w:top w:w="102" w:type="dxa"/>
          <w:right w:w="62" w:type="dxa"/>
          <w:bottom w:w="102" w:type="dxa"/>
        </w:tblCellMar>
        <w:tblLook w:val="04A0" w:firstRow="1" w:lastRow="0" w:firstColumn="1" w:lastColumn="0" w:noHBand="0" w:noVBand="1"/>
      </w:tblPr>
      <w:tblGrid>
        <w:gridCol w:w="547"/>
        <w:gridCol w:w="2681"/>
        <w:gridCol w:w="2317"/>
        <w:gridCol w:w="2116"/>
        <w:gridCol w:w="1239"/>
        <w:gridCol w:w="1655"/>
        <w:gridCol w:w="2494"/>
        <w:gridCol w:w="1501"/>
        <w:gridCol w:w="1618"/>
      </w:tblGrid>
      <w:tr>
        <w:tc>
          <w:tcPr>
            <w:tcW w:w="566" w:type="dxa"/>
          </w:tcPr>
          <w:p>
            <w:pPr>
              <w:pStyle w:val="ConsPlusNormal0"/>
              <w:jc w:val="center"/>
            </w:pPr>
            <w:r>
              <w:t xml:space="preserve">N </w:t>
            </w:r>
            <w:r>
              <w:t xml:space="preserve">п</w:t>
            </w:r>
            <w:r>
              <w:t xml:space="preserve">/п</w:t>
            </w:r>
          </w:p>
        </w:tc>
        <w:tc>
          <w:tcPr>
            <w:tcW w:w="2778" w:type="dxa"/>
          </w:tcPr>
          <w:p>
            <w:pPr>
              <w:pStyle w:val="ConsPlusNormal0"/>
              <w:jc w:val="center"/>
            </w:pPr>
            <w:r>
              <w:t xml:space="preserve">Обязательное требование</w:t>
            </w:r>
          </w:p>
        </w:tc>
        <w:tc>
          <w:tcPr>
            <w:tcW w:w="2267" w:type="dxa"/>
          </w:tcPr>
          <w:p>
            <w:pPr>
              <w:pStyle w:val="ConsPlusNormal0"/>
              <w:jc w:val="center"/>
            </w:pPr>
            <w:r>
              <w:t xml:space="preserve">Подтверждающий документ</w:t>
            </w:r>
          </w:p>
        </w:tc>
        <w:tc>
          <w:tcPr>
            <w:tcW w:w="2041" w:type="dxa"/>
          </w:tcPr>
          <w:p>
            <w:pPr>
              <w:pStyle w:val="ConsPlusNormal0"/>
              <w:jc w:val="center"/>
            </w:pPr>
            <w:r>
              <w:t xml:space="preserve">Показатель</w:t>
            </w:r>
          </w:p>
        </w:tc>
        <w:tc>
          <w:tcPr>
            <w:tcW w:w="850" w:type="dxa"/>
          </w:tcPr>
          <w:p>
            <w:pPr>
              <w:pStyle w:val="ConsPlusNormal0"/>
              <w:jc w:val="center"/>
            </w:pPr>
            <w:r>
              <w:t xml:space="preserve">Вес показателя</w:t>
            </w:r>
          </w:p>
        </w:tc>
        <w:tc>
          <w:tcPr>
            <w:tcW w:w="1661" w:type="dxa"/>
          </w:tcPr>
          <w:p>
            <w:pPr>
              <w:pStyle w:val="ConsPlusNormal0"/>
              <w:jc w:val="center"/>
            </w:pPr>
            <w:r>
              <w:t xml:space="preserve">Наименование показателя</w:t>
            </w:r>
          </w:p>
        </w:tc>
        <w:tc>
          <w:tcPr>
            <w:tcW w:w="2494" w:type="dxa"/>
          </w:tcPr>
          <w:p>
            <w:pPr>
              <w:pStyle w:val="ConsPlusNormal0"/>
              <w:jc w:val="center"/>
            </w:pPr>
            <w:r>
              <w:t xml:space="preserve">Расчет показателей готовности (формула)</w:t>
            </w:r>
          </w:p>
        </w:tc>
        <w:tc>
          <w:tcPr>
            <w:tcW w:w="1512" w:type="dxa"/>
          </w:tcPr>
          <w:p>
            <w:pPr>
              <w:pStyle w:val="ConsPlusNormal0"/>
              <w:jc w:val="center"/>
            </w:pPr>
            <w:r>
              <w:t xml:space="preserve">Значение (заполняется комиссией)</w:t>
            </w:r>
          </w:p>
        </w:tc>
        <w:tc>
          <w:tcPr>
            <w:tcW w:w="1666" w:type="dxa"/>
          </w:tcPr>
          <w:p>
            <w:pPr>
              <w:pStyle w:val="ConsPlusNormal0"/>
              <w:jc w:val="center"/>
            </w:pPr>
            <w:r>
              <w:t xml:space="preserve">Замечание (в случае наличия, с указанием сроков устранения)</w:t>
            </w:r>
          </w:p>
        </w:tc>
      </w:tr>
      <w:tr>
        <w:tc>
          <w:tcPr>
            <w:tcW w:w="566" w:type="dxa"/>
          </w:tcPr>
          <w:p>
            <w:pPr>
              <w:pStyle w:val="ConsPlusNormal0"/>
            </w:pPr>
          </w:p>
        </w:tc>
        <w:tc>
          <w:tcPr>
            <w:tcW w:w="2778" w:type="dxa"/>
          </w:tcPr>
          <w:p>
            <w:pPr>
              <w:pStyle w:val="ConsPlusNormal0"/>
            </w:pPr>
          </w:p>
        </w:tc>
        <w:tc>
          <w:tcPr>
            <w:tcW w:w="2267" w:type="dxa"/>
          </w:tcPr>
          <w:p>
            <w:pPr>
              <w:pStyle w:val="ConsPlusNormal0"/>
            </w:pPr>
          </w:p>
        </w:tc>
        <w:tc>
          <w:tcPr>
            <w:tcW w:w="4552" w:type="dxa"/>
            <w:gridSpan w:val="3"/>
          </w:tcPr>
          <w:p>
            <w:pPr>
              <w:pStyle w:val="ConsPlusNormal0"/>
              <w:jc w:val="center"/>
            </w:pPr>
            <w:r>
              <w:t xml:space="preserve">ИНДЕКС ГОТОВНОСТИ</w:t>
            </w:r>
          </w:p>
        </w:tc>
        <w:tc>
          <w:tcPr>
            <w:tcW w:w="2494" w:type="dxa"/>
          </w:tcPr>
          <w:p>
            <w:pPr>
              <w:pStyle w:val="ConsPlusNormal0"/>
            </w:pPr>
            <w:r>
              <w:t xml:space="preserve">И</w:t>
            </w:r>
            <w:r>
              <w:rPr>
                <w:vertAlign w:val="subscript"/>
              </w:rPr>
              <w:t xml:space="preserve">мо</w:t>
            </w:r>
            <w:r>
              <w:t xml:space="preserve"> = </w:t>
            </w:r>
            <w:r>
              <w:t xml:space="preserve">К</w:t>
            </w:r>
            <w:r>
              <w:rPr>
                <w:vertAlign w:val="subscript"/>
              </w:rPr>
              <w:t xml:space="preserve">закон</w:t>
            </w:r>
            <w:r>
              <w:rPr>
                <w:vertAlign w:val="subscript"/>
              </w:rPr>
              <w:t xml:space="preserve"> о </w:t>
            </w:r>
            <w:r>
              <w:rPr>
                <w:vertAlign w:val="subscript"/>
              </w:rPr>
              <w:t xml:space="preserve">тепл</w:t>
            </w:r>
            <w:r>
              <w:t xml:space="preserve"> * 0,65 + </w:t>
            </w:r>
            <w:r>
              <w:t xml:space="preserve">К</w:t>
            </w:r>
            <w:r>
              <w:rPr>
                <w:vertAlign w:val="subscript"/>
              </w:rPr>
              <w:t xml:space="preserve">оценка</w:t>
            </w:r>
            <w:r>
              <w:t xml:space="preserve"> * 0,35</w:t>
            </w:r>
          </w:p>
        </w:tc>
        <w:tc>
          <w:tcPr>
            <w:tcW w:w="1512" w:type="dxa"/>
          </w:tcPr>
          <w:p>
            <w:pPr>
              <w:pStyle w:val="ConsPlusNormal0"/>
            </w:pPr>
          </w:p>
        </w:tc>
        <w:tc>
          <w:tcPr>
            <w:tcW w:w="1666" w:type="dxa"/>
          </w:tcPr>
          <w:p>
            <w:pPr>
              <w:pStyle w:val="ConsPlusNormal0"/>
            </w:pPr>
          </w:p>
        </w:tc>
      </w:tr>
      <w:tr>
        <w:tc>
          <w:tcPr>
            <w:tcW w:w="566" w:type="dxa"/>
          </w:tcPr>
          <w:p>
            <w:pPr>
              <w:pStyle w:val="ConsPlusNormal0"/>
            </w:pPr>
            <w:r>
              <w:t xml:space="preserve">1</w:t>
            </w:r>
          </w:p>
        </w:tc>
        <w:tc>
          <w:tcPr>
            <w:tcW w:w="2778" w:type="dxa"/>
          </w:tcPr>
          <w:p>
            <w:pPr>
              <w:pStyle w:val="ConsPlusNormal0"/>
            </w:pPr>
            <w:r>
              <w:t xml:space="preserve">Выполнить требования, установленные </w:t>
            </w:r>
            <w:hyperlink r:id="rId18" w:tooltip="Федеральный закон от 27.07.2010 N 190-ФЗ (ред. от 08.08.2024) &quot;О теплоснабжении&quot; (с изм. и доп., вступ. в силу с 01.03.2025) {КонсультантПлюс}">
              <w:r>
                <w:rPr>
                  <w:color w:val="0000ff"/>
                </w:rPr>
                <w:t xml:space="preserve">частью 3 статьи 20</w:t>
              </w:r>
            </w:hyperlink>
            <w:r>
              <w:t xml:space="preserve"> Федерального закона от 27 июля 2010 г. N 190-ФЗ "О теплоснабжении" (далее - Федеральный закон о теплоснабжении) (</w:t>
            </w:r>
            <w:hyperlink w:tooltip="8.1. Выполнить требования, установленные частью 3 статьи 20 Федерального закона о теплоснабжении." w:anchor="P69">
              <w:r>
                <w:rPr>
                  <w:color w:val="0000ff"/>
                </w:rPr>
                <w:t xml:space="preserve">подпункт 8.1 пункта 8</w:t>
              </w:r>
            </w:hyperlink>
            <w:r>
              <w:t xml:space="preserve"> Правил обеспечения готовности к отопительному периоду, утвержденных приказом Минэнерго России от 13 ноября 2024 г. N 2234 (далее - Правила):</w:t>
            </w:r>
          </w:p>
        </w:tc>
        <w:tc>
          <w:tcPr>
            <w:tcW w:w="2267" w:type="dxa"/>
          </w:tcPr>
          <w:p>
            <w:pPr>
              <w:pStyle w:val="ConsPlusNormal0"/>
            </w:pPr>
            <w:r>
              <w:t xml:space="preserve">-</w:t>
            </w:r>
          </w:p>
        </w:tc>
        <w:tc>
          <w:tcPr>
            <w:tcW w:w="2041" w:type="dxa"/>
          </w:tcPr>
          <w:p>
            <w:pPr>
              <w:pStyle w:val="ConsPlusNormal0"/>
            </w:pPr>
            <w:r>
              <w:t xml:space="preserve">Показатель выполнения требований Федерального </w:t>
            </w:r>
            <w:hyperlink r:id="rId19" w:tooltip="Федеральный закон от 27.07.2010 N 190-ФЗ (ред. от 08.08.2024) &quot;О теплоснабжении&quot; (с изм. и доп., вступ. в силу с 01.03.2025) {КонсультантПлюс}">
              <w:r>
                <w:rPr>
                  <w:color w:val="0000ff"/>
                </w:rPr>
                <w:t xml:space="preserve">закона</w:t>
              </w:r>
            </w:hyperlink>
            <w:r>
              <w:t xml:space="preserve"> о теплоснабжении</w:t>
            </w:r>
          </w:p>
        </w:tc>
        <w:tc>
          <w:tcPr>
            <w:tcW w:w="850" w:type="dxa"/>
          </w:tcPr>
          <w:p>
            <w:pPr>
              <w:pStyle w:val="ConsPlusNormal0"/>
            </w:pPr>
            <w:r>
              <w:t xml:space="preserve">0,65</w:t>
            </w:r>
          </w:p>
        </w:tc>
        <w:tc>
          <w:tcPr>
            <w:tcW w:w="1661" w:type="dxa"/>
          </w:tcPr>
          <w:p>
            <w:pPr>
              <w:pStyle w:val="ConsPlusNormal0"/>
            </w:pPr>
            <w:r>
              <w:t xml:space="preserve">К</w:t>
            </w:r>
            <w:r>
              <w:rPr>
                <w:vertAlign w:val="subscript"/>
              </w:rPr>
              <w:t xml:space="preserve">закон</w:t>
            </w:r>
            <w:r>
              <w:rPr>
                <w:vertAlign w:val="subscript"/>
              </w:rPr>
              <w:t xml:space="preserve"> о </w:t>
            </w:r>
            <w:r>
              <w:rPr>
                <w:vertAlign w:val="subscript"/>
              </w:rPr>
              <w:t xml:space="preserve">тепл</w:t>
            </w:r>
          </w:p>
        </w:tc>
        <w:tc>
          <w:tcPr>
            <w:tcW w:w="2494" w:type="dxa"/>
          </w:tcPr>
          <w:p>
            <w:pPr>
              <w:pStyle w:val="ConsPlusNormal0"/>
            </w:pPr>
            <w:r>
              <w:t xml:space="preserve">К</w:t>
            </w:r>
            <w:r>
              <w:rPr>
                <w:vertAlign w:val="subscript"/>
              </w:rPr>
              <w:t xml:space="preserve">закон</w:t>
            </w:r>
            <w:r>
              <w:rPr>
                <w:vertAlign w:val="subscript"/>
              </w:rPr>
              <w:t xml:space="preserve"> о </w:t>
            </w:r>
            <w:r>
              <w:rPr>
                <w:vertAlign w:val="subscript"/>
              </w:rPr>
              <w:t xml:space="preserve">тепл</w:t>
            </w:r>
            <w:r>
              <w:t xml:space="preserve"> = </w:t>
            </w:r>
            <w:r>
              <w:t xml:space="preserve">К</w:t>
            </w:r>
            <w:r>
              <w:rPr>
                <w:vertAlign w:val="subscript"/>
              </w:rPr>
              <w:t xml:space="preserve">порядок</w:t>
            </w:r>
            <w:r>
              <w:t xml:space="preserve"> * 0,4 + </w:t>
            </w:r>
            <w:r>
              <w:t xml:space="preserve">К</w:t>
            </w:r>
            <w:r>
              <w:rPr>
                <w:vertAlign w:val="subscript"/>
              </w:rPr>
              <w:t xml:space="preserve">схем</w:t>
            </w:r>
            <w:r>
              <w:t xml:space="preserve"> * 0,3 + </w:t>
            </w:r>
            <w:r>
              <w:t xml:space="preserve">К</w:t>
            </w:r>
            <w:r>
              <w:rPr>
                <w:vertAlign w:val="subscript"/>
              </w:rPr>
              <w:t xml:space="preserve">бесхоз</w:t>
            </w:r>
            <w:r>
              <w:t xml:space="preserve"> * 0,3</w:t>
            </w:r>
          </w:p>
        </w:tc>
        <w:tc>
          <w:tcPr>
            <w:tcW w:w="1512" w:type="dxa"/>
          </w:tcPr>
          <w:p>
            <w:pPr>
              <w:pStyle w:val="ConsPlusNormal0"/>
            </w:pPr>
          </w:p>
        </w:tc>
        <w:tc>
          <w:tcPr>
            <w:tcW w:w="1666" w:type="dxa"/>
          </w:tcPr>
          <w:p>
            <w:pPr>
              <w:pStyle w:val="ConsPlusNormal0"/>
            </w:pPr>
          </w:p>
        </w:tc>
      </w:tr>
      <w:tr>
        <w:tc>
          <w:tcPr>
            <w:tcW w:w="566" w:type="dxa"/>
          </w:tcPr>
          <w:p>
            <w:pPr>
              <w:pStyle w:val="ConsPlusNormal0"/>
            </w:pPr>
            <w:r>
              <w:t xml:space="preserve">1.1</w:t>
            </w:r>
          </w:p>
        </w:tc>
        <w:tc>
          <w:tcPr>
            <w:tcW w:w="2778" w:type="dxa"/>
          </w:tcPr>
          <w:p>
            <w:pPr>
              <w:pStyle w:val="ConsPlusNormal0"/>
            </w:pPr>
            <w:r>
              <w:t xml:space="preserve">Иметь порядок (план) действий по ликвидации последствий аварийных ситуаций в сфере теплоснабжения в муниципальном образовании (</w:t>
            </w:r>
            <w:hyperlink r:id="rId20" w:tooltip="Федеральный закон от 27.07.2010 N 190-ФЗ (ред. от 08.08.2024) &quot;О теплоснабжении&quot; (с изм. и доп., вступ. в силу с 01.03.2025) {КонсультантПлюс}">
              <w:r>
                <w:rPr>
                  <w:color w:val="0000ff"/>
                </w:rPr>
                <w:t xml:space="preserve">пункт 1 части 3 статьи 20</w:t>
              </w:r>
            </w:hyperlink>
            <w:r>
              <w:t xml:space="preserve"> Федерального закона о </w:t>
            </w:r>
            <w:r>
              <w:t xml:space="preserve">теплоснабжении)</w:t>
            </w:r>
          </w:p>
        </w:tc>
        <w:tc>
          <w:tcPr>
            <w:tcW w:w="2267" w:type="dxa"/>
          </w:tcPr>
          <w:p>
            <w:pPr>
              <w:pStyle w:val="ConsPlusNormal0"/>
            </w:pPr>
            <w:r>
              <w:t xml:space="preserve">Утвержденный (актуализированный) порядок (план) действий по ликвидации последствий аварийных ситуаций в сфере теплоснабжения в </w:t>
            </w:r>
            <w:r>
              <w:t xml:space="preserve">муниципальном образовании (в том числе с применением электронного моделирования аварийных ситуаций) (</w:t>
            </w:r>
            <w:hyperlink w:tooltip="8.3.1. 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 w:anchor="P75">
              <w:r>
                <w:rPr>
                  <w:color w:val="0000ff"/>
                </w:rPr>
                <w:t xml:space="preserve">подпункт 8.3.1 пункта 8</w:t>
              </w:r>
            </w:hyperlink>
            <w:r>
              <w:t xml:space="preserve"> Правил)</w:t>
            </w:r>
          </w:p>
        </w:tc>
        <w:tc>
          <w:tcPr>
            <w:tcW w:w="2041" w:type="dxa"/>
          </w:tcPr>
          <w:p>
            <w:pPr>
              <w:pStyle w:val="ConsPlusNormal0"/>
            </w:pPr>
            <w:r>
              <w:t xml:space="preserve">Показатель наличия порядка (плана) действий по ликвидации последствий аварийных ситуаций в сфере теплоснабжения в муниципальном </w:t>
            </w:r>
            <w:r>
              <w:t xml:space="preserve">образовании</w:t>
            </w:r>
          </w:p>
        </w:tc>
        <w:tc>
          <w:tcPr>
            <w:tcW w:w="850" w:type="dxa"/>
          </w:tcPr>
          <w:p>
            <w:pPr>
              <w:pStyle w:val="ConsPlusNormal0"/>
            </w:pPr>
            <w:r>
              <w:t xml:space="preserve">0,4</w:t>
            </w:r>
          </w:p>
        </w:tc>
        <w:tc>
          <w:tcPr>
            <w:tcW w:w="1661" w:type="dxa"/>
          </w:tcPr>
          <w:p>
            <w:pPr>
              <w:pStyle w:val="ConsPlusNormal0"/>
            </w:pPr>
            <w:r>
              <w:t xml:space="preserve">К</w:t>
            </w:r>
            <w:r>
              <w:rPr>
                <w:vertAlign w:val="subscript"/>
              </w:rPr>
              <w:t xml:space="preserve">порядок</w:t>
            </w:r>
          </w:p>
        </w:tc>
        <w:tc>
          <w:tcPr>
            <w:tcW w:w="2494" w:type="dxa"/>
          </w:tcPr>
          <w:p>
            <w:pPr>
              <w:pStyle w:val="ConsPlusNormal0"/>
            </w:pPr>
            <w:r>
              <w:t xml:space="preserve">Наличие - 1</w:t>
            </w:r>
          </w:p>
          <w:p>
            <w:pPr>
              <w:pStyle w:val="ConsPlusNormal0"/>
            </w:pPr>
            <w:r>
              <w:t xml:space="preserve">Отсутствие - 0</w:t>
            </w:r>
          </w:p>
        </w:tc>
        <w:tc>
          <w:tcPr>
            <w:tcW w:w="1512" w:type="dxa"/>
          </w:tcPr>
          <w:p>
            <w:pPr>
              <w:pStyle w:val="ConsPlusNormal0"/>
            </w:pPr>
          </w:p>
        </w:tc>
        <w:tc>
          <w:tcPr>
            <w:tcW w:w="1666" w:type="dxa"/>
          </w:tcPr>
          <w:p>
            <w:pPr>
              <w:pStyle w:val="ConsPlusNormal0"/>
            </w:pPr>
          </w:p>
        </w:tc>
      </w:tr>
      <w:tr>
        <w:tc>
          <w:tcPr>
            <w:tcW w:w="566" w:type="dxa"/>
          </w:tcPr>
          <w:p>
            <w:pPr>
              <w:pStyle w:val="ConsPlusNormal0"/>
            </w:pPr>
            <w:r>
              <w:t xml:space="preserve">1.2</w:t>
            </w:r>
          </w:p>
        </w:tc>
        <w:tc>
          <w:tcPr>
            <w:tcW w:w="2778" w:type="dxa"/>
          </w:tcPr>
          <w:p>
            <w:pPr>
              <w:pStyle w:val="ConsPlusNormal0"/>
            </w:pPr>
            <w:r>
              <w:t xml:space="preserve">Иметь утвержденную актуализированную схему теплоснабжения в соответствии с </w:t>
            </w:r>
            <w:hyperlink r:id="rId21" w:tooltip="Федеральный закон от 27.07.2010 N 190-ФЗ (ред. от 08.08.2024) &quot;О теплоснабжении&quot; (с изм. и доп., вступ. в силу с 01.03.2025) {КонсультантПлюс}">
              <w:r>
                <w:rPr>
                  <w:color w:val="0000ff"/>
                </w:rPr>
                <w:t xml:space="preserve">частью 3 статьи 23</w:t>
              </w:r>
            </w:hyperlink>
            <w:r>
              <w:t xml:space="preserve"> Федерального закона о теплоснабжении (</w:t>
            </w:r>
            <w:hyperlink r:id="rId22" w:tooltip="Федеральный закон от 27.07.2010 N 190-ФЗ (ред. от 08.08.2024) &quot;О теплоснабжении&quot; (с изм. и доп., вступ. в силу с 01.03.2025) {КонсультантПлюс}">
              <w:r>
                <w:rPr>
                  <w:color w:val="0000ff"/>
                </w:rPr>
                <w:t xml:space="preserve">пункт 2 части 3 статьи 20</w:t>
              </w:r>
            </w:hyperlink>
            <w:r>
              <w:t xml:space="preserve"> Федерального закона о теплоснабжении)</w:t>
            </w:r>
          </w:p>
        </w:tc>
        <w:tc>
          <w:tcPr>
            <w:tcW w:w="2267" w:type="dxa"/>
          </w:tcPr>
          <w:p>
            <w:pPr>
              <w:pStyle w:val="ConsPlusNormal0"/>
            </w:pPr>
            <w:r>
              <w:t xml:space="preserve">Утвержденная актуализированная схема теплоснабжения, в соответствии с требованиями </w:t>
            </w:r>
            <w:hyperlink r:id="rId23" w:tooltip="Постановление Правительства РФ от 22.02.2012 N 154 (ред. от 18.03.2025) &quot;О требованиях к схемам теплоснабжения, порядку их разработки и утверждения&quot; {КонсультантПлюс}">
              <w:r>
                <w:rPr>
                  <w:color w:val="0000ff"/>
                </w:rPr>
                <w:t xml:space="preserve">постановления</w:t>
              </w:r>
            </w:hyperlink>
            <w:r>
              <w:t xml:space="preserve"> Правительства Российской Федерации от 22 февраля 2012 г. N 154 (</w:t>
            </w:r>
            <w:hyperlink w:tooltip="8.3.2. Утвержденную (актуализированную) схему теплоснабжения в соответствии с требованиями постановления Правительства Российской Федерации от 22 февраля 2012 г. N 154 &quot;О требованиях к схемам теплоснабжения, порядку их разработки и утверждения&quot;." w:anchor="P84">
              <w:r>
                <w:rPr>
                  <w:color w:val="0000ff"/>
                </w:rPr>
                <w:t xml:space="preserve">подпункт 8.3.2 пункта</w:t>
              </w:r>
            </w:hyperlink>
            <w:r>
              <w:t xml:space="preserve"> Правил)</w:t>
            </w:r>
          </w:p>
        </w:tc>
        <w:tc>
          <w:tcPr>
            <w:tcW w:w="2041" w:type="dxa"/>
          </w:tcPr>
          <w:p>
            <w:pPr>
              <w:pStyle w:val="ConsPlusNormal0"/>
            </w:pPr>
            <w:r>
              <w:t xml:space="preserve">Показатель наличия утвержденной актуализированной схемы теплоснабжения</w:t>
            </w:r>
          </w:p>
        </w:tc>
        <w:tc>
          <w:tcPr>
            <w:tcW w:w="850" w:type="dxa"/>
          </w:tcPr>
          <w:p>
            <w:pPr>
              <w:pStyle w:val="ConsPlusNormal0"/>
            </w:pPr>
            <w:r>
              <w:t xml:space="preserve">0,3</w:t>
            </w:r>
          </w:p>
        </w:tc>
        <w:tc>
          <w:tcPr>
            <w:tcW w:w="1661" w:type="dxa"/>
          </w:tcPr>
          <w:p>
            <w:pPr>
              <w:pStyle w:val="ConsPlusNormal0"/>
            </w:pPr>
            <w:r>
              <w:t xml:space="preserve">К</w:t>
            </w:r>
            <w:r>
              <w:rPr>
                <w:vertAlign w:val="subscript"/>
              </w:rPr>
              <w:t xml:space="preserve">схем</w:t>
            </w:r>
          </w:p>
        </w:tc>
        <w:tc>
          <w:tcPr>
            <w:tcW w:w="2494" w:type="dxa"/>
          </w:tcPr>
          <w:p>
            <w:pPr>
              <w:pStyle w:val="ConsPlusNormal0"/>
            </w:pPr>
            <w:r>
              <w:t xml:space="preserve">Наличие - 1</w:t>
            </w:r>
          </w:p>
          <w:p>
            <w:pPr>
              <w:pStyle w:val="ConsPlusNormal0"/>
            </w:pPr>
            <w:r>
              <w:t xml:space="preserve">Отсутствие - 0</w:t>
            </w:r>
          </w:p>
        </w:tc>
        <w:tc>
          <w:tcPr>
            <w:tcW w:w="1512" w:type="dxa"/>
          </w:tcPr>
          <w:p>
            <w:pPr>
              <w:pStyle w:val="ConsPlusNormal0"/>
            </w:pPr>
          </w:p>
        </w:tc>
        <w:tc>
          <w:tcPr>
            <w:tcW w:w="1666" w:type="dxa"/>
          </w:tcPr>
          <w:p>
            <w:pPr>
              <w:pStyle w:val="ConsPlusNormal0"/>
            </w:pPr>
          </w:p>
        </w:tc>
      </w:tr>
      <w:tr>
        <w:tc>
          <w:tcPr>
            <w:tcW w:w="566" w:type="dxa"/>
          </w:tcPr>
          <w:p>
            <w:pPr>
              <w:pStyle w:val="ConsPlusNormal0"/>
            </w:pPr>
            <w:r>
              <w:t xml:space="preserve">1.3</w:t>
            </w:r>
          </w:p>
        </w:tc>
        <w:tc>
          <w:tcPr>
            <w:tcW w:w="2778" w:type="dxa"/>
          </w:tcPr>
          <w:p>
            <w:pPr>
              <w:pStyle w:val="ConsPlusNormal0"/>
            </w:pPr>
            <w:r>
              <w:t xml:space="preserve">Обеспечить подготовку к отопительному периоду бесхозяйных объектов теплоснабжения, в отношении которых в соответствии с </w:t>
            </w:r>
            <w:hyperlink r:id="rId24" w:tooltip="Федеральный закон от 27.07.2010 N 190-ФЗ (ред. от 08.08.2024) &quot;О теплоснабжении&quot; (с изм. и доп., вступ. в силу с 01.03.2025) {КонсультантПлюс}">
              <w:r>
                <w:rPr>
                  <w:color w:val="0000ff"/>
                </w:rPr>
                <w:t xml:space="preserve">частью 6.4 статьи 15</w:t>
              </w:r>
            </w:hyperlink>
            <w:r>
              <w:t xml:space="preserve"> Федерального закона о теплоснабжении не определена организация </w:t>
            </w:r>
            <w:r>
              <w:t xml:space="preserve">по содержанию и обслуживанию (</w:t>
            </w:r>
            <w:hyperlink r:id="rId25" w:tooltip="Федеральный закон от 27.07.2010 N 190-ФЗ (ред. от 08.08.2024) &quot;О теплоснабжении&quot; (с изм. и доп., вступ. в силу с 01.03.2025) {КонсультантПлюс}">
              <w:r>
                <w:rPr>
                  <w:color w:val="0000ff"/>
                </w:rPr>
                <w:t xml:space="preserve">пункт 3 части 3 статьи 20</w:t>
              </w:r>
            </w:hyperlink>
            <w:r>
              <w:t xml:space="preserve"> Федерального закона о теплоснабжении)</w:t>
            </w:r>
          </w:p>
        </w:tc>
        <w:tc>
          <w:tcPr>
            <w:tcW w:w="2267" w:type="dxa"/>
          </w:tcPr>
          <w:p>
            <w:pPr>
              <w:pStyle w:val="ConsPlusNormal0"/>
            </w:pPr>
            <w:r>
              <w:t xml:space="preserve">Документы, предусмотренные </w:t>
            </w:r>
            <w:hyperlink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anchor="P97">
              <w:r>
                <w:rPr>
                  <w:color w:val="0000ff"/>
                </w:rPr>
                <w:t xml:space="preserve">подпунктами 9.3.1</w:t>
              </w:r>
            </w:hyperlink>
            <w:r>
              <w:t xml:space="preserve">, </w:t>
            </w:r>
            <w:hyperlink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N 115." w:anchor="P99">
              <w:r>
                <w:rPr>
                  <w:color w:val="0000ff"/>
                </w:rPr>
                <w:t xml:space="preserve">9.3.3</w:t>
              </w:r>
            </w:hyperlink>
            <w:r>
              <w:t xml:space="preserve"> - </w:t>
            </w:r>
            <w:hyperlink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anchor="P114">
              <w:r>
                <w:rPr>
                  <w:color w:val="0000ff"/>
                </w:rPr>
                <w:t xml:space="preserve">9.3.12</w:t>
              </w:r>
            </w:hyperlink>
            <w:r>
              <w:t xml:space="preserve">, </w:t>
            </w:r>
            <w:hyperlink w:tooltip="9.3.14. Разработанный в соответствии с пунктом 2.7.10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 w:anchor="P116">
              <w:r>
                <w:rPr>
                  <w:color w:val="0000ff"/>
                </w:rPr>
                <w:t xml:space="preserve">9.3.14</w:t>
              </w:r>
            </w:hyperlink>
            <w:r>
              <w:t xml:space="preserve"> - </w:t>
            </w:r>
            <w:hyperlink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anchor="P120">
              <w:r>
                <w:rPr>
                  <w:color w:val="0000ff"/>
                </w:rPr>
                <w:t xml:space="preserve">9.3.16</w:t>
              </w:r>
            </w:hyperlink>
            <w:r>
              <w:t xml:space="preserve">,</w:t>
            </w:r>
            <w:r>
              <w:t xml:space="preserve"> </w:t>
            </w:r>
            <w:hyperlink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anchor="P122">
              <w:r>
                <w:rPr>
                  <w:color w:val="0000ff"/>
                </w:rPr>
                <w:t xml:space="preserve">9.3.18</w:t>
              </w:r>
            </w:hyperlink>
            <w:r>
              <w:t xml:space="preserve"> - </w:t>
            </w:r>
            <w:hyperlink w:tooltip="9.3.24. Акт опробования работоспособности оборудования насосных станций, проведение которого установлено требованиями пункта 6.2.48 Правил N 115." w:anchor="P128">
              <w:r>
                <w:rPr>
                  <w:color w:val="0000ff"/>
                </w:rPr>
                <w:t xml:space="preserve">9.3.24</w:t>
              </w:r>
            </w:hyperlink>
            <w:r>
              <w:t xml:space="preserve">, </w:t>
            </w:r>
            <w:hyperlink w:tooltip="9.3.26. Утвержденный в соответствии с требованиями пункта 2.7.3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 w:anchor="P133">
              <w:r>
                <w:rPr>
                  <w:color w:val="0000ff"/>
                </w:rPr>
                <w:t xml:space="preserve">9.3.26</w:t>
              </w:r>
            </w:hyperlink>
            <w:r>
              <w:t xml:space="preserve"> - </w:t>
            </w:r>
            <w:hyperlink w:tooltip="9.3.28. Утвержденный в соответствии с требованиями пункта 15.4.3 Правил N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 w:anchor="P138">
              <w:r>
                <w:rPr>
                  <w:color w:val="0000ff"/>
                </w:rPr>
                <w:t xml:space="preserve">9.3.28 пункта 9</w:t>
              </w:r>
            </w:hyperlink>
            <w:r>
              <w:t xml:space="preserve"> Правил, и документы, подтверждающие выполнение требований по </w:t>
            </w:r>
            <w:r>
              <w:t xml:space="preserve">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26" w:tooltip="Федеральный закон от 27.07.2010 N 190-ФЗ (ред. от 08.08.2024) &quot;О теплоснабжении&quot; (с изм. и доп., вступ. в силу с 01.03.2025) {КонсультантПлюс}">
              <w:r>
                <w:rPr>
                  <w:color w:val="0000ff"/>
                </w:rPr>
                <w:t xml:space="preserve">части 6.1 статьи 15</w:t>
              </w:r>
            </w:hyperlink>
            <w:r>
              <w:t xml:space="preserve"> Федерального закона о теплоснабжении (</w:t>
            </w:r>
            <w:hyperlink w:tooltip="8.3.3. Документы, предусмотренные подпунктами 9.3.1, 9.3.3 - 9.3.12, 9.3.14 - 9.3.16, 9.3.18 - 9.3.24, 9.3.26 - 9.3.28 пункта 9 настоящих Правил, и документы, подтверждающие выполнение требований по обеспечению готовности к отопительному периоду бесхозяйных об" w:anchor="P85">
              <w:r>
                <w:rPr>
                  <w:color w:val="0000ff"/>
                </w:rPr>
                <w:t xml:space="preserve">подпункт 8.3.3 пункта 8</w:t>
              </w:r>
            </w:hyperlink>
            <w:r>
              <w:t xml:space="preserve"> Правил)</w:t>
            </w:r>
          </w:p>
        </w:tc>
        <w:tc>
          <w:tcPr>
            <w:tcW w:w="2041" w:type="dxa"/>
          </w:tcPr>
          <w:p>
            <w:pPr>
              <w:pStyle w:val="ConsPlusNormal0"/>
            </w:pPr>
            <w:r>
              <w:t xml:space="preserve">Показатель подготовки к отопительному периоду бесхозяйных объектов теплоснабжения</w:t>
            </w:r>
          </w:p>
        </w:tc>
        <w:tc>
          <w:tcPr>
            <w:tcW w:w="850" w:type="dxa"/>
          </w:tcPr>
          <w:p>
            <w:pPr>
              <w:pStyle w:val="ConsPlusNormal0"/>
            </w:pPr>
            <w:r>
              <w:t xml:space="preserve">0,3</w:t>
            </w:r>
          </w:p>
        </w:tc>
        <w:tc>
          <w:tcPr>
            <w:tcW w:w="1661" w:type="dxa"/>
          </w:tcPr>
          <w:p>
            <w:pPr>
              <w:pStyle w:val="ConsPlusNormal0"/>
            </w:pPr>
            <w:r>
              <w:t xml:space="preserve">К</w:t>
            </w:r>
            <w:r>
              <w:rPr>
                <w:vertAlign w:val="subscript"/>
              </w:rPr>
              <w:t xml:space="preserve">бесхоз</w:t>
            </w:r>
          </w:p>
        </w:tc>
        <w:tc>
          <w:tcPr>
            <w:tcW w:w="2494" w:type="dxa"/>
          </w:tcPr>
          <w:p>
            <w:pPr>
              <w:pStyle w:val="ConsPlusNormal0"/>
            </w:pPr>
            <w:r>
              <w:t xml:space="preserve">При отсутствии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w:t>
            </w:r>
            <w:r>
              <w:t xml:space="preserve">К</w:t>
            </w:r>
            <w:r>
              <w:rPr>
                <w:vertAlign w:val="subscript"/>
              </w:rPr>
              <w:t xml:space="preserve">бесхоз</w:t>
            </w:r>
            <w:r>
              <w:t xml:space="preserve"> </w:t>
            </w:r>
            <w:r>
              <w:t xml:space="preserve">принимается равным 1.</w:t>
            </w:r>
          </w:p>
          <w:p>
            <w:pPr>
              <w:pStyle w:val="ConsPlusNormal0"/>
            </w:pPr>
            <w:r>
              <w:t xml:space="preserve">При наличии бесхозяйных объектов теплоснабжения, для которых определена организация по содержанию и обслуживанию </w:t>
            </w:r>
            <w:r>
              <w:t xml:space="preserve">К</w:t>
            </w:r>
            <w:r>
              <w:rPr>
                <w:vertAlign w:val="subscript"/>
              </w:rPr>
              <w:t xml:space="preserve">бесхоз</w:t>
            </w:r>
            <w:r>
              <w:t xml:space="preserve"> принимается </w:t>
            </w:r>
            <w:r>
              <w:t xml:space="preserve">равным</w:t>
            </w:r>
            <w:r>
              <w:t xml:space="preserve"> 1.</w:t>
            </w:r>
          </w:p>
          <w:p>
            <w:pPr>
              <w:pStyle w:val="ConsPlusNormal0"/>
            </w:pPr>
            <w:r>
              <w:t xml:space="preserve">Если для бесхозяйных объектов не определена организация, которая будет осуществлять содержание и обслуживание, расчет </w:t>
            </w:r>
            <w:r>
              <w:t xml:space="preserve">К</w:t>
            </w:r>
            <w:r>
              <w:rPr>
                <w:vertAlign w:val="subscript"/>
              </w:rPr>
              <w:t xml:space="preserve">бесхоз</w:t>
            </w:r>
            <w:r>
              <w:t xml:space="preserve"> ведется в соответствии с </w:t>
            </w:r>
            <w:hyperlink w:tooltip="Приложение" w:anchor="P538">
              <w:r>
                <w:rPr>
                  <w:color w:val="0000ff"/>
                </w:rPr>
                <w:t xml:space="preserve">Приложением</w:t>
              </w:r>
            </w:hyperlink>
            <w:r>
              <w:t xml:space="preserve"> к оценочному листу для расчета показателя подготовки бесхозяйных объектов теплоснабжения, которым не определена организация, осуществляющая содержание и обслуживание</w:t>
            </w:r>
          </w:p>
        </w:tc>
        <w:tc>
          <w:tcPr>
            <w:tcW w:w="1512" w:type="dxa"/>
          </w:tcPr>
          <w:p>
            <w:pPr>
              <w:pStyle w:val="ConsPlusNormal0"/>
            </w:pPr>
          </w:p>
        </w:tc>
        <w:tc>
          <w:tcPr>
            <w:tcW w:w="1666" w:type="dxa"/>
          </w:tcPr>
          <w:p>
            <w:pPr>
              <w:pStyle w:val="ConsPlusNormal0"/>
            </w:pPr>
          </w:p>
        </w:tc>
      </w:tr>
      <w:tr>
        <w:tc>
          <w:tcPr>
            <w:tcW w:w="566" w:type="dxa"/>
          </w:tcPr>
          <w:p>
            <w:pPr>
              <w:pStyle w:val="ConsPlusNormal0"/>
            </w:pPr>
            <w:r>
              <w:t xml:space="preserve">2</w:t>
            </w:r>
          </w:p>
        </w:tc>
        <w:tc>
          <w:tcPr>
            <w:tcW w:w="2778" w:type="dxa"/>
            <w:vMerge w:val="restart"/>
          </w:tcPr>
          <w:p>
            <w:pPr>
              <w:pStyle w:val="ConsPlusNormal0"/>
            </w:pPr>
            <w:r>
              <w:t xml:space="preserve">Осуществить оценку обеспечения готовности </w:t>
            </w:r>
            <w:r>
              <w:t xml:space="preserve">к отопительному периоду лицами, указанными в </w:t>
            </w:r>
            <w:hyperlink w:tooltip="1.2. Теплоснабжающими организациями и теплосетевыми организациями." w:anchor="P383">
              <w:r>
                <w:rPr>
                  <w:color w:val="0000ff"/>
                </w:rPr>
                <w:t xml:space="preserve">подпунктах 1.2</w:t>
              </w:r>
            </w:hyperlink>
            <w:r>
              <w:t xml:space="preserve"> - </w:t>
            </w:r>
            <w:hyperlink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anchor="P387">
              <w:r>
                <w:rPr>
                  <w:color w:val="0000ff"/>
                </w:rPr>
                <w:t xml:space="preserve">1.6 пункта 1</w:t>
              </w:r>
            </w:hyperlink>
            <w:r>
              <w:t xml:space="preserve"> Правил в соответствии с Порядком проведения оценки обеспечения готовности к отопительному периоду, утвержденным приказом Минэнерго России от 13 ноября 2024 г. N 2234 (далее - Порядок) (</w:t>
            </w:r>
            <w:hyperlink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anchor="P70">
              <w:r>
                <w:rPr>
                  <w:color w:val="0000ff"/>
                </w:rPr>
                <w:t xml:space="preserve">подпункт 8.2 пункта 8</w:t>
              </w:r>
            </w:hyperlink>
            <w:r>
              <w:t xml:space="preserve"> Правил)</w:t>
            </w:r>
          </w:p>
        </w:tc>
        <w:tc>
          <w:tcPr>
            <w:tcW w:w="2267" w:type="dxa"/>
            <w:vMerge w:val="restart"/>
          </w:tcPr>
          <w:p>
            <w:pPr>
              <w:pStyle w:val="ConsPlusNormal0"/>
            </w:pPr>
            <w:r>
              <w:t xml:space="preserve">Выданные акты оценки обеспечения </w:t>
            </w:r>
            <w:r>
              <w:t xml:space="preserve">готовности к отопительному периоду, подтверждающие выполнение требований, установленных </w:t>
            </w:r>
            <w:hyperlink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anchor="P70">
              <w:r>
                <w:rPr>
                  <w:color w:val="0000ff"/>
                </w:rPr>
                <w:t xml:space="preserve">подпунктом 8.2 пункта 8</w:t>
              </w:r>
            </w:hyperlink>
            <w:r>
              <w:t xml:space="preserve"> (</w:t>
            </w:r>
            <w:hyperlink w:tooltip="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 w:anchor="P70">
              <w:r>
                <w:rPr>
                  <w:color w:val="0000ff"/>
                </w:rPr>
                <w:t xml:space="preserve">подпункт 8.2 пункта 8</w:t>
              </w:r>
            </w:hyperlink>
            <w:r>
              <w:t xml:space="preserve"> Правил)</w:t>
            </w:r>
          </w:p>
        </w:tc>
        <w:tc>
          <w:tcPr>
            <w:tcW w:w="2041" w:type="dxa"/>
            <w:vMerge w:val="restart"/>
          </w:tcPr>
          <w:p>
            <w:pPr>
              <w:pStyle w:val="ConsPlusNormal0"/>
            </w:pPr>
            <w:r>
              <w:t xml:space="preserve">Показатель оценки обеспечения </w:t>
            </w:r>
            <w:r>
              <w:t xml:space="preserve">готовности к отопительному периоду лицами, указанными в </w:t>
            </w:r>
            <w:hyperlink w:tooltip="1.2. Теплоснабжающими организациями и теплосетевыми организациями." w:anchor="P383">
              <w:r>
                <w:rPr>
                  <w:color w:val="0000ff"/>
                </w:rPr>
                <w:t xml:space="preserve">подпунктах 1.2</w:t>
              </w:r>
            </w:hyperlink>
            <w:r>
              <w:t xml:space="preserve"> - </w:t>
            </w:r>
            <w:hyperlink w:tooltip="1.6. Владельцами тепловых сетей, которые не являются теплосетевыми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 w:anchor="P387">
              <w:r>
                <w:rPr>
                  <w:color w:val="0000ff"/>
                </w:rPr>
                <w:t xml:space="preserve">1.6 пункта 1</w:t>
              </w:r>
            </w:hyperlink>
            <w:r>
              <w:t xml:space="preserve"> Правил</w:t>
            </w:r>
          </w:p>
        </w:tc>
        <w:tc>
          <w:tcPr>
            <w:tcW w:w="850" w:type="dxa"/>
          </w:tcPr>
          <w:p>
            <w:pPr>
              <w:pStyle w:val="ConsPlusNormal0"/>
            </w:pPr>
            <w:r>
              <w:t xml:space="preserve">0,35</w:t>
            </w:r>
          </w:p>
        </w:tc>
        <w:tc>
          <w:tcPr>
            <w:tcW w:w="1661" w:type="dxa"/>
          </w:tcPr>
          <w:p>
            <w:pPr>
              <w:pStyle w:val="ConsPlusNormal0"/>
            </w:pPr>
            <w:r>
              <w:t xml:space="preserve">К</w:t>
            </w:r>
            <w:r>
              <w:rPr>
                <w:vertAlign w:val="subscript"/>
              </w:rPr>
              <w:t xml:space="preserve">оценка</w:t>
            </w:r>
          </w:p>
        </w:tc>
        <w:tc>
          <w:tcPr>
            <w:tcW w:w="2494" w:type="dxa"/>
          </w:tcPr>
          <w:p>
            <w:pPr>
              <w:pStyle w:val="ConsPlusNormal0"/>
            </w:pPr>
            <w:r>
              <w:rPr>
                <w:position w:val="-24"/>
              </w:rPr>
              <mc:AlternateContent>
                <mc:Choice Requires="wpg">
                  <w:drawing>
                    <wp:inline xmlns:wp="http://schemas.openxmlformats.org/drawingml/2006/wordprocessingDrawing" distT="0" distB="0" distL="0" distR="0">
                      <wp:extent cx="1504950"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27">
                                <a:extLst>
                                  <a:ext uri="{96DAC541-7B7A-43D3-8B79-37D633B846F1}">
                                    <asvg:svgBlip xmlns:asvg="http://schemas.microsoft.com/office/drawing/2016/SVG/main" r:embed="rId28"/>
                                  </a:ext>
                                </a:extLst>
                              </a:blip>
                              <a:srcRect/>
                              <a:stretch/>
                            </pic:blipFill>
                            <pic:spPr bwMode="auto">
                              <a:xfrm>
                                <a:off x="0" y="0"/>
                                <a:ext cx="1504950" cy="46672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8.50pt;height:36.75pt;mso-wrap-distance-left:0.00pt;mso-wrap-distance-top:0.00pt;mso-wrap-distance-right:0.00pt;mso-wrap-distance-bottom:0.00pt;" stroked="f">
                      <v:path textboxrect="0,0,0,0"/>
                      <v:imagedata r:id="rId27" o:title=""/>
                    </v:shape>
                  </w:pict>
                </mc:Fallback>
              </mc:AlternateContent>
            </w:r>
          </w:p>
        </w:tc>
        <w:tc>
          <w:tcPr>
            <w:tcW w:w="1512" w:type="dxa"/>
          </w:tcPr>
          <w:p>
            <w:pPr>
              <w:pStyle w:val="ConsPlusNormal0"/>
            </w:pPr>
          </w:p>
        </w:tc>
        <w:tc>
          <w:tcPr>
            <w:tcW w:w="1666" w:type="dxa"/>
          </w:tcPr>
          <w:p>
            <w:pPr>
              <w:pStyle w:val="ConsPlusNormal0"/>
            </w:pPr>
          </w:p>
        </w:tc>
      </w:tr>
      <w:tr>
        <w:tc>
          <w:tcPr>
            <w:tcW w:w="566" w:type="dxa"/>
          </w:tcPr>
          <w:p>
            <w:pPr>
              <w:pStyle w:val="ConsPlusNormal0"/>
            </w:pPr>
            <w:r>
              <w:t xml:space="preserve">2.1</w:t>
            </w:r>
          </w:p>
        </w:tc>
        <w:tc>
          <w:tcPr>
            <w:tcW w:w="0" w:type="auto"/>
            <w:vMerge w:val="continue"/>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850" w:type="dxa"/>
          </w:tcPr>
          <w:p>
            <w:pPr>
              <w:pStyle w:val="ConsPlusNormal0"/>
            </w:pPr>
            <w:r>
              <w:t xml:space="preserve">-</w:t>
            </w:r>
          </w:p>
        </w:tc>
        <w:tc>
          <w:tcPr>
            <w:tcW w:w="1661" w:type="dxa"/>
          </w:tcPr>
          <w:p>
            <w:pPr>
              <w:pStyle w:val="ConsPlusNormal0"/>
            </w:pPr>
            <w:r>
              <w:t xml:space="preserve">l</w:t>
            </w:r>
            <w:r>
              <w:rPr>
                <w:vertAlign w:val="subscript"/>
              </w:rPr>
              <w:t xml:space="preserve">порядок</w:t>
            </w:r>
          </w:p>
        </w:tc>
        <w:tc>
          <w:tcPr>
            <w:tcW w:w="2494" w:type="dxa"/>
          </w:tcPr>
          <w:p>
            <w:pPr>
              <w:pStyle w:val="ConsPlusNormal0"/>
            </w:pPr>
            <w:r>
              <w:t xml:space="preserve">При соблюдении Порядка </w:t>
            </w:r>
            <w:r>
              <w:t xml:space="preserve">l</w:t>
            </w:r>
            <w:r>
              <w:rPr>
                <w:vertAlign w:val="subscript"/>
              </w:rPr>
              <w:t xml:space="preserve">порядок</w:t>
            </w:r>
            <w:r>
              <w:t xml:space="preserve"> принимается </w:t>
            </w:r>
            <w:r>
              <w:t xml:space="preserve">равным</w:t>
            </w:r>
            <w:r>
              <w:t xml:space="preserve"> 1.</w:t>
            </w:r>
          </w:p>
          <w:p>
            <w:pPr>
              <w:pStyle w:val="ConsPlusNormal0"/>
            </w:pPr>
            <w:r>
              <w:t xml:space="preserve">При не соблюдении Порядка </w:t>
            </w:r>
            <w:r>
              <w:t xml:space="preserve">l</w:t>
            </w:r>
            <w:r>
              <w:rPr>
                <w:vertAlign w:val="subscript"/>
              </w:rPr>
              <w:t xml:space="preserve">порядок</w:t>
            </w:r>
            <w:r>
              <w:t xml:space="preserve"> принимается </w:t>
            </w:r>
            <w:r>
              <w:t xml:space="preserve">равным</w:t>
            </w:r>
            <w:r>
              <w:t xml:space="preserve"> 0.</w:t>
            </w:r>
          </w:p>
        </w:tc>
        <w:tc>
          <w:tcPr>
            <w:tcW w:w="1512" w:type="dxa"/>
          </w:tcPr>
          <w:p>
            <w:pPr>
              <w:pStyle w:val="ConsPlusNormal0"/>
            </w:pPr>
          </w:p>
        </w:tc>
        <w:tc>
          <w:tcPr>
            <w:tcW w:w="1666" w:type="dxa"/>
          </w:tcPr>
          <w:p>
            <w:pPr>
              <w:pStyle w:val="ConsPlusNormal0"/>
            </w:pPr>
          </w:p>
        </w:tc>
      </w:tr>
      <w:tr>
        <w:tc>
          <w:tcPr>
            <w:tcW w:w="566" w:type="dxa"/>
          </w:tcPr>
          <w:p>
            <w:pPr>
              <w:pStyle w:val="ConsPlusNormal0"/>
            </w:pPr>
            <w:r>
              <w:t xml:space="preserve">2.2</w:t>
            </w:r>
          </w:p>
        </w:tc>
        <w:tc>
          <w:tcPr>
            <w:tcW w:w="0" w:type="auto"/>
            <w:vMerge w:val="continue"/>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850" w:type="dxa"/>
          </w:tcPr>
          <w:p>
            <w:pPr>
              <w:pStyle w:val="ConsPlusNormal0"/>
            </w:pPr>
            <w:r>
              <w:t xml:space="preserve">-</w:t>
            </w:r>
          </w:p>
        </w:tc>
        <w:tc>
          <w:tcPr>
            <w:tcW w:w="1661" w:type="dxa"/>
          </w:tcPr>
          <w:p>
            <w:pPr>
              <w:pStyle w:val="ConsPlusNormal0"/>
            </w:pPr>
            <w:r>
              <w:t xml:space="preserve">n</w:t>
            </w:r>
            <w:r>
              <w:rPr>
                <w:vertAlign w:val="subscript"/>
              </w:rPr>
              <w:t xml:space="preserve">актов</w:t>
            </w:r>
          </w:p>
        </w:tc>
        <w:tc>
          <w:tcPr>
            <w:tcW w:w="2494" w:type="dxa"/>
          </w:tcPr>
          <w:p>
            <w:pPr>
              <w:pStyle w:val="ConsPlusNormal0"/>
            </w:pPr>
            <w:r>
              <w:t xml:space="preserve">Количество теплоснабжающих и </w:t>
            </w:r>
            <w:r>
              <w:t xml:space="preserve">теплосетевых</w:t>
            </w:r>
            <w:r>
              <w:t xml:space="preserve"> организаций, владельцев тепловых сетей, не являющихся </w:t>
            </w:r>
            <w:r>
              <w:t xml:space="preserve">теплосетевыми</w:t>
            </w:r>
            <w:r>
              <w:t xml:space="preserve"> организациями, прошедших оценку готовности и получивших акт оценки обеспечения готовности к отопительному периоду</w:t>
            </w:r>
          </w:p>
        </w:tc>
        <w:tc>
          <w:tcPr>
            <w:tcW w:w="1512" w:type="dxa"/>
          </w:tcPr>
          <w:p>
            <w:pPr>
              <w:pStyle w:val="ConsPlusNormal0"/>
            </w:pPr>
          </w:p>
        </w:tc>
        <w:tc>
          <w:tcPr>
            <w:tcW w:w="1666" w:type="dxa"/>
          </w:tcPr>
          <w:p>
            <w:pPr>
              <w:pStyle w:val="ConsPlusNormal0"/>
            </w:pPr>
          </w:p>
        </w:tc>
      </w:tr>
      <w:tr>
        <w:tc>
          <w:tcPr>
            <w:tcW w:w="566" w:type="dxa"/>
          </w:tcPr>
          <w:p>
            <w:pPr>
              <w:pStyle w:val="ConsPlusNormal0"/>
            </w:pPr>
            <w:r>
              <w:t xml:space="preserve">2.3</w:t>
            </w:r>
          </w:p>
        </w:tc>
        <w:tc>
          <w:tcPr>
            <w:tcW w:w="0" w:type="auto"/>
            <w:vMerge w:val="continue"/>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850" w:type="dxa"/>
          </w:tcPr>
          <w:p>
            <w:pPr>
              <w:pStyle w:val="ConsPlusNormal0"/>
            </w:pPr>
            <w:r>
              <w:t xml:space="preserve">-</w:t>
            </w:r>
          </w:p>
        </w:tc>
        <w:tc>
          <w:tcPr>
            <w:tcW w:w="1661" w:type="dxa"/>
          </w:tcPr>
          <w:p>
            <w:pPr>
              <w:pStyle w:val="ConsPlusNormal0"/>
            </w:pPr>
            <w:r>
              <w:t xml:space="preserve">n</w:t>
            </w:r>
            <w:r>
              <w:rPr>
                <w:vertAlign w:val="subscript"/>
              </w:rPr>
              <w:t xml:space="preserve">всего</w:t>
            </w:r>
          </w:p>
        </w:tc>
        <w:tc>
          <w:tcPr>
            <w:tcW w:w="2494" w:type="dxa"/>
          </w:tcPr>
          <w:p>
            <w:pPr>
              <w:pStyle w:val="ConsPlusNormal0"/>
            </w:pPr>
            <w:r>
              <w:t xml:space="preserve">Количество теплоснабжающих и </w:t>
            </w:r>
            <w:r>
              <w:t xml:space="preserve">теплосетевых</w:t>
            </w:r>
            <w:r>
              <w:t xml:space="preserve"> организаций, владельцев тепловых сетей, не являющихся </w:t>
            </w:r>
            <w:r>
              <w:t xml:space="preserve">теплосетевыми</w:t>
            </w:r>
            <w:r>
              <w:t xml:space="preserve"> организациями, всего (информация о количестве должна соответствовать </w:t>
            </w:r>
            <w:r>
              <w:t xml:space="preserve">схемам теплоснабжения)</w:t>
            </w:r>
          </w:p>
        </w:tc>
        <w:tc>
          <w:tcPr>
            <w:tcW w:w="1512" w:type="dxa"/>
          </w:tcPr>
          <w:p>
            <w:pPr>
              <w:pStyle w:val="ConsPlusNormal0"/>
            </w:pPr>
          </w:p>
        </w:tc>
        <w:tc>
          <w:tcPr>
            <w:tcW w:w="1666" w:type="dxa"/>
          </w:tcPr>
          <w:p>
            <w:pPr>
              <w:pStyle w:val="ConsPlusNormal0"/>
            </w:pPr>
          </w:p>
        </w:tc>
      </w:tr>
    </w:tbl>
    <w:p>
      <w:pPr>
        <w:pStyle w:val="ConsPlusNormal0"/>
        <w:sectPr>
          <w:headerReference w:type="default" r:id="rId9"/>
          <w:headerReference w:type="first" r:id="rId10"/>
          <w:footerReference w:type="default" r:id="rId14"/>
          <w:footerReference w:type="first" r:id="rId15"/>
          <w:pgSz w:w="16838" w:h="11906" w:orient="landscape"/>
          <w:pgMar w:top="1133" w:right="397" w:bottom="566" w:left="397" w:header="0" w:footer="0" w:gutter="0"/>
          <w:cols w:space="720"/>
          <w:docGrid w:linePitch="360"/>
          <w:titlePg/>
        </w:sectPr>
      </w:pPr>
    </w:p>
    <w:p>
      <w:pPr>
        <w:pStyle w:val="ConsPlusNormal0"/>
        <w:jc w:val="right"/>
        <w:outlineLvl w:val="2"/>
      </w:pPr>
      <w:bookmarkStart w:id="1" w:name="P538"/>
      <w:bookmarkEnd w:id="1"/>
      <w:r>
        <w:t xml:space="preserve">Приложение</w:t>
      </w:r>
    </w:p>
    <w:p>
      <w:pPr>
        <w:pStyle w:val="ConsPlusNormal0"/>
        <w:jc w:val="right"/>
      </w:pPr>
      <w:r>
        <w:t xml:space="preserve">к оценочному листу для расчета индекса</w:t>
      </w:r>
    </w:p>
    <w:p>
      <w:pPr>
        <w:pStyle w:val="ConsPlusNormal0"/>
        <w:jc w:val="right"/>
      </w:pPr>
      <w:r>
        <w:t xml:space="preserve">готовности к отопительному периоду</w:t>
      </w:r>
    </w:p>
    <w:p>
      <w:pPr>
        <w:pStyle w:val="ConsPlusNormal0"/>
        <w:jc w:val="right"/>
      </w:pPr>
      <w:r>
        <w:t xml:space="preserve">муниципального образования в случае</w:t>
      </w:r>
    </w:p>
    <w:p>
      <w:pPr>
        <w:pStyle w:val="ConsPlusNormal0"/>
        <w:jc w:val="right"/>
      </w:pPr>
      <w:r>
        <w:t xml:space="preserve">наличия у них бесхозяйных объектов</w:t>
      </w:r>
    </w:p>
    <w:p>
      <w:pPr>
        <w:pStyle w:val="ConsPlusNormal0"/>
        <w:jc w:val="right"/>
      </w:pPr>
      <w:r>
        <w:t xml:space="preserve">теплоснабжения, которым не </w:t>
      </w:r>
      <w:r>
        <w:t xml:space="preserve">определена</w:t>
      </w:r>
    </w:p>
    <w:p>
      <w:pPr>
        <w:pStyle w:val="ConsPlusNormal0"/>
        <w:jc w:val="right"/>
      </w:pPr>
      <w:r>
        <w:t xml:space="preserve">организация, осуществляющая</w:t>
      </w:r>
    </w:p>
    <w:p>
      <w:pPr>
        <w:pStyle w:val="ConsPlusNormal0"/>
        <w:jc w:val="right"/>
      </w:pPr>
      <w:r>
        <w:t xml:space="preserve">их содержание и обслуживание</w:t>
      </w:r>
    </w:p>
    <w:p>
      <w:pPr>
        <w:pStyle w:val="ConsPlusNormal0"/>
        <w:ind w:firstLine="540"/>
        <w:jc w:val="both"/>
      </w:pPr>
    </w:p>
    <w:p>
      <w:pPr>
        <w:pStyle w:val="ConsPlusNormal0"/>
        <w:jc w:val="right"/>
      </w:pPr>
      <w:r>
        <w:t xml:space="preserve">Рекомендуемый образец</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62" w:type="dxa"/>
          <w:top w:w="102" w:type="dxa"/>
          <w:right w:w="62" w:type="dxa"/>
          <w:bottom w:w="102" w:type="dxa"/>
        </w:tblCellMar>
        <w:tblLook w:val="0000" w:firstRow="0" w:lastRow="0" w:firstColumn="0" w:lastColumn="0" w:noHBand="0" w:noVBand="0"/>
      </w:tblPr>
      <w:tblGrid>
        <w:gridCol w:w="850"/>
        <w:gridCol w:w="2405"/>
        <w:gridCol w:w="2622"/>
        <w:gridCol w:w="2438"/>
        <w:gridCol w:w="1239"/>
        <w:gridCol w:w="1638"/>
        <w:gridCol w:w="2149"/>
        <w:gridCol w:w="1441"/>
        <w:gridCol w:w="1386"/>
      </w:tblGrid>
      <w:tr>
        <w:tc>
          <w:tcPr>
            <w:tcW w:w="1134" w:type="dxa"/>
          </w:tcPr>
          <w:p>
            <w:pPr>
              <w:pStyle w:val="ConsPlusNormal0"/>
              <w:jc w:val="center"/>
            </w:pPr>
            <w:r>
              <w:t xml:space="preserve">N </w:t>
            </w:r>
            <w:r>
              <w:t xml:space="preserve">п</w:t>
            </w:r>
            <w:r>
              <w:t xml:space="preserve">/п</w:t>
            </w:r>
          </w:p>
        </w:tc>
        <w:tc>
          <w:tcPr>
            <w:tcW w:w="3515" w:type="dxa"/>
          </w:tcPr>
          <w:p>
            <w:pPr>
              <w:pStyle w:val="ConsPlusNormal0"/>
              <w:jc w:val="center"/>
            </w:pPr>
            <w:r>
              <w:t xml:space="preserve">Обязательное требование</w:t>
            </w:r>
          </w:p>
        </w:tc>
        <w:tc>
          <w:tcPr>
            <w:tcW w:w="3685" w:type="dxa"/>
          </w:tcPr>
          <w:p>
            <w:pPr>
              <w:pStyle w:val="ConsPlusNormal0"/>
              <w:jc w:val="center"/>
            </w:pPr>
            <w:r>
              <w:t xml:space="preserve">Подтверждающий документ</w:t>
            </w:r>
          </w:p>
        </w:tc>
        <w:tc>
          <w:tcPr>
            <w:tcW w:w="2721" w:type="dxa"/>
          </w:tcPr>
          <w:p>
            <w:pPr>
              <w:pStyle w:val="ConsPlusNormal0"/>
              <w:jc w:val="center"/>
            </w:pPr>
            <w:r>
              <w:t xml:space="preserve">Показатель</w:t>
            </w:r>
          </w:p>
        </w:tc>
        <w:tc>
          <w:tcPr>
            <w:tcW w:w="907" w:type="dxa"/>
          </w:tcPr>
          <w:p>
            <w:pPr>
              <w:pStyle w:val="ConsPlusNormal0"/>
              <w:jc w:val="center"/>
            </w:pPr>
            <w:r>
              <w:t xml:space="preserve">Вес показателя</w:t>
            </w:r>
          </w:p>
        </w:tc>
        <w:tc>
          <w:tcPr>
            <w:tcW w:w="1701" w:type="dxa"/>
          </w:tcPr>
          <w:p>
            <w:pPr>
              <w:pStyle w:val="ConsPlusNormal0"/>
              <w:jc w:val="center"/>
            </w:pPr>
            <w:r>
              <w:t xml:space="preserve">Наименование показателя</w:t>
            </w:r>
          </w:p>
        </w:tc>
        <w:tc>
          <w:tcPr>
            <w:tcW w:w="2800" w:type="dxa"/>
          </w:tcPr>
          <w:p>
            <w:pPr>
              <w:pStyle w:val="ConsPlusNormal0"/>
              <w:jc w:val="center"/>
            </w:pPr>
            <w:r>
              <w:t xml:space="preserve">Расчет показателей готовности (формула)</w:t>
            </w:r>
          </w:p>
        </w:tc>
        <w:tc>
          <w:tcPr>
            <w:tcW w:w="1077" w:type="dxa"/>
          </w:tcPr>
          <w:p>
            <w:pPr>
              <w:pStyle w:val="ConsPlusNormal0"/>
              <w:jc w:val="center"/>
            </w:pPr>
            <w:r>
              <w:t xml:space="preserve">Значение (заполняется комиссией)</w:t>
            </w:r>
          </w:p>
        </w:tc>
        <w:tc>
          <w:tcPr>
            <w:tcW w:w="1474" w:type="dxa"/>
          </w:tcPr>
          <w:p>
            <w:pPr>
              <w:pStyle w:val="ConsPlusNormal0"/>
              <w:jc w:val="center"/>
            </w:pPr>
            <w:r>
              <w:t xml:space="preserve">Замечание (в случае наличия, с указанием сроков устранения)</w:t>
            </w:r>
          </w:p>
        </w:tc>
      </w:tr>
      <w:tr>
        <w:tc>
          <w:tcPr>
            <w:tcW w:w="1134" w:type="dxa"/>
          </w:tcPr>
          <w:p>
            <w:pPr>
              <w:pStyle w:val="ConsPlusNormal0"/>
            </w:pPr>
          </w:p>
        </w:tc>
        <w:tc>
          <w:tcPr>
            <w:tcW w:w="3515" w:type="dxa"/>
          </w:tcPr>
          <w:p>
            <w:pPr>
              <w:pStyle w:val="ConsPlusNormal0"/>
            </w:pPr>
          </w:p>
        </w:tc>
        <w:tc>
          <w:tcPr>
            <w:tcW w:w="3685" w:type="dxa"/>
          </w:tcPr>
          <w:p>
            <w:pPr>
              <w:pStyle w:val="ConsPlusNormal0"/>
            </w:pPr>
          </w:p>
        </w:tc>
        <w:tc>
          <w:tcPr>
            <w:tcW w:w="5329" w:type="dxa"/>
            <w:gridSpan w:val="3"/>
            <w:vAlign w:val="center"/>
          </w:tcPr>
          <w:p>
            <w:pPr>
              <w:pStyle w:val="ConsPlusNormal0"/>
              <w:jc w:val="right"/>
            </w:pPr>
            <w:r>
              <w:t xml:space="preserve">К</w:t>
            </w:r>
            <w:r>
              <w:rPr>
                <w:vertAlign w:val="subscript"/>
              </w:rPr>
              <w:t xml:space="preserve">бесхоз</w:t>
            </w:r>
          </w:p>
        </w:tc>
        <w:tc>
          <w:tcPr>
            <w:tcW w:w="2800" w:type="dxa"/>
          </w:tcPr>
          <w:p>
            <w:pPr>
              <w:pStyle w:val="ConsPlusNormal0"/>
            </w:pPr>
            <w:r>
              <w:t xml:space="preserve">К</w:t>
            </w:r>
            <w:r>
              <w:rPr>
                <w:vertAlign w:val="subscript"/>
              </w:rPr>
              <w:t xml:space="preserve">бесхоз</w:t>
            </w:r>
            <w:r>
              <w:t xml:space="preserve"> =</w:t>
            </w:r>
          </w:p>
          <w:p>
            <w:pPr>
              <w:pStyle w:val="ConsPlusNormal0"/>
            </w:pPr>
            <w:r>
              <w:t xml:space="preserve">К</w:t>
            </w:r>
            <w:r>
              <w:rPr>
                <w:vertAlign w:val="subscript"/>
              </w:rPr>
              <w:t xml:space="preserve">закон</w:t>
            </w:r>
            <w:r>
              <w:rPr>
                <w:vertAlign w:val="subscript"/>
              </w:rPr>
              <w:t xml:space="preserve"> о </w:t>
            </w:r>
            <w:r>
              <w:rPr>
                <w:vertAlign w:val="subscript"/>
              </w:rPr>
              <w:t xml:space="preserve">тепл</w:t>
            </w:r>
            <w:r>
              <w:t xml:space="preserve"> * 0,9 +</w:t>
            </w:r>
          </w:p>
          <w:p>
            <w:pPr>
              <w:pStyle w:val="ConsPlusNormal0"/>
            </w:pPr>
            <w:r>
              <w:t xml:space="preserve">К</w:t>
            </w:r>
            <w:r>
              <w:rPr>
                <w:vertAlign w:val="subscript"/>
              </w:rPr>
              <w:t xml:space="preserve">предп</w:t>
            </w:r>
            <w:r>
              <w:t xml:space="preserve"> * 0,1</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w:t>
            </w:r>
          </w:p>
        </w:tc>
        <w:tc>
          <w:tcPr>
            <w:tcW w:w="3515" w:type="dxa"/>
          </w:tcPr>
          <w:p>
            <w:pPr>
              <w:pStyle w:val="ConsPlusNormal0"/>
            </w:pPr>
            <w:r>
              <w:t xml:space="preserve">Выполнить требования, установленные </w:t>
            </w:r>
            <w:hyperlink r:id="rId29" w:tooltip="Федеральный закон от 27.07.2010 N 190-ФЗ (ред. от 23.03.2026) &quot;О теплоснабжении&quot; {КонсультантПлюс}">
              <w:r>
                <w:rPr>
                  <w:color w:val="0000ff"/>
                </w:rPr>
                <w:t xml:space="preserve">частью 4 статьи 20</w:t>
              </w:r>
            </w:hyperlink>
            <w:r>
              <w:t xml:space="preserve"> Федерального закона от 27 июля 2010 г. N 190-ФЗ "О теплоснабжении" (далее - Федеральный закон о теплоснабжении) (</w:t>
            </w:r>
            <w:hyperlink w:tooltip="9.1. Выполнить требования, установленные частью 4 статьи 20 Федерального закона о теплоснабжении." w:anchor="P91">
              <w:r>
                <w:rPr>
                  <w:color w:val="0000ff"/>
                </w:rPr>
                <w:t xml:space="preserve">подпункт 9.1 пункта 9</w:t>
              </w:r>
            </w:hyperlink>
            <w:r>
              <w:t xml:space="preserve"> Правил обеспечения готовности к </w:t>
            </w:r>
            <w:r>
              <w:t xml:space="preserve">отопительному периоду, утвержденных приказом Минэнерго России от 13 ноября 2024 г. N 2234 (далее - Правила):</w:t>
            </w:r>
          </w:p>
        </w:tc>
        <w:tc>
          <w:tcPr>
            <w:tcW w:w="3685" w:type="dxa"/>
          </w:tcPr>
          <w:p>
            <w:pPr>
              <w:pStyle w:val="ConsPlusNormal0"/>
            </w:pPr>
            <w:r>
              <w:t xml:space="preserve">-</w:t>
            </w:r>
          </w:p>
        </w:tc>
        <w:tc>
          <w:tcPr>
            <w:tcW w:w="2721" w:type="dxa"/>
          </w:tcPr>
          <w:p>
            <w:pPr>
              <w:pStyle w:val="ConsPlusNormal0"/>
            </w:pPr>
            <w:r>
              <w:t xml:space="preserve">Показатель выполнения требований Федерального </w:t>
            </w:r>
            <w:hyperlink r:id="rId30" w:tooltip="Федеральный закон от 27.07.2010 N 190-ФЗ (ред. от 23.03.2026) &quot;О теплоснабжении&quot; {КонсультантПлюс}">
              <w:r>
                <w:rPr>
                  <w:color w:val="0000ff"/>
                </w:rPr>
                <w:t xml:space="preserve">закона</w:t>
              </w:r>
            </w:hyperlink>
            <w:r>
              <w:t xml:space="preserve"> о тепл</w:t>
            </w:r>
            <w:bookmarkStart w:id="2" w:name="_GoBack"/>
            <w:bookmarkEnd w:id="2"/>
            <w:r>
              <w:t xml:space="preserve">оснабжении</w:t>
            </w:r>
          </w:p>
        </w:tc>
        <w:tc>
          <w:tcPr>
            <w:tcW w:w="907" w:type="dxa"/>
          </w:tcPr>
          <w:p>
            <w:pPr>
              <w:pStyle w:val="ConsPlusNormal0"/>
            </w:pPr>
            <w:r>
              <w:t xml:space="preserve">0,9</w:t>
            </w:r>
          </w:p>
        </w:tc>
        <w:tc>
          <w:tcPr>
            <w:tcW w:w="1701" w:type="dxa"/>
          </w:tcPr>
          <w:p>
            <w:pPr>
              <w:pStyle w:val="ConsPlusNormal0"/>
            </w:pPr>
            <w:r>
              <w:t xml:space="preserve">К</w:t>
            </w:r>
            <w:r>
              <w:rPr>
                <w:vertAlign w:val="subscript"/>
              </w:rPr>
              <w:t xml:space="preserve">закон</w:t>
            </w:r>
            <w:r>
              <w:rPr>
                <w:vertAlign w:val="subscript"/>
              </w:rPr>
              <w:t xml:space="preserve"> о </w:t>
            </w:r>
            <w:r>
              <w:rPr>
                <w:vertAlign w:val="subscript"/>
              </w:rPr>
              <w:t xml:space="preserve">тепл</w:t>
            </w:r>
          </w:p>
        </w:tc>
        <w:tc>
          <w:tcPr>
            <w:tcW w:w="2800" w:type="dxa"/>
          </w:tcPr>
          <w:p>
            <w:pPr>
              <w:pStyle w:val="ConsPlusNormal0"/>
            </w:pPr>
            <w:r>
              <w:t xml:space="preserve">К</w:t>
            </w:r>
            <w:r>
              <w:rPr>
                <w:vertAlign w:val="subscript"/>
              </w:rPr>
              <w:t xml:space="preserve">закон</w:t>
            </w:r>
            <w:r>
              <w:rPr>
                <w:vertAlign w:val="subscript"/>
              </w:rPr>
              <w:t xml:space="preserve"> о </w:t>
            </w:r>
            <w:r>
              <w:rPr>
                <w:vertAlign w:val="subscript"/>
              </w:rPr>
              <w:t xml:space="preserve">тепл</w:t>
            </w:r>
            <w:r>
              <w:t xml:space="preserve"> =</w:t>
            </w:r>
          </w:p>
          <w:p>
            <w:pPr>
              <w:pStyle w:val="ConsPlusNormal0"/>
            </w:pPr>
            <w:r>
              <w:t xml:space="preserve">К</w:t>
            </w:r>
            <w:r>
              <w:rPr>
                <w:vertAlign w:val="subscript"/>
              </w:rPr>
              <w:t xml:space="preserve">функ</w:t>
            </w:r>
            <w:r>
              <w:t xml:space="preserve"> * 0,05 +</w:t>
            </w:r>
          </w:p>
          <w:p>
            <w:pPr>
              <w:pStyle w:val="ConsPlusNormal0"/>
            </w:pPr>
            <w:r>
              <w:t xml:space="preserve">К</w:t>
            </w:r>
            <w:r>
              <w:rPr>
                <w:vertAlign w:val="subscript"/>
              </w:rPr>
              <w:t xml:space="preserve">режим</w:t>
            </w:r>
            <w:r>
              <w:rPr>
                <w:vertAlign w:val="subscript"/>
              </w:rPr>
              <w:t xml:space="preserve">.н</w:t>
            </w:r>
            <w:r>
              <w:rPr>
                <w:vertAlign w:val="subscript"/>
              </w:rPr>
              <w:t xml:space="preserve">алад</w:t>
            </w:r>
            <w:r>
              <w:t xml:space="preserve"> * 0,01 +</w:t>
            </w:r>
          </w:p>
          <w:p>
            <w:pPr>
              <w:pStyle w:val="ConsPlusNormal0"/>
            </w:pPr>
            <w:r>
              <w:t xml:space="preserve">К</w:t>
            </w:r>
            <w:r>
              <w:rPr>
                <w:vertAlign w:val="subscript"/>
              </w:rPr>
              <w:t xml:space="preserve">качест</w:t>
            </w:r>
            <w:r>
              <w:t xml:space="preserve"> * 0,04 +</w:t>
            </w:r>
          </w:p>
          <w:p>
            <w:pPr>
              <w:pStyle w:val="ConsPlusNormal0"/>
            </w:pPr>
            <w:r>
              <w:t xml:space="preserve">К</w:t>
            </w:r>
            <w:r>
              <w:rPr>
                <w:vertAlign w:val="subscript"/>
              </w:rPr>
              <w:t xml:space="preserve">кач</w:t>
            </w:r>
            <w:r>
              <w:rPr>
                <w:vertAlign w:val="subscript"/>
              </w:rPr>
              <w:t xml:space="preserve">.с</w:t>
            </w:r>
            <w:r>
              <w:rPr>
                <w:vertAlign w:val="subscript"/>
              </w:rPr>
              <w:t xml:space="preserve">троит</w:t>
            </w:r>
            <w:r>
              <w:t xml:space="preserve"> * 0,3 +</w:t>
            </w:r>
          </w:p>
          <w:p>
            <w:pPr>
              <w:pStyle w:val="ConsPlusNormal0"/>
            </w:pPr>
            <w:r>
              <w:t xml:space="preserve">К</w:t>
            </w:r>
            <w:r>
              <w:rPr>
                <w:vertAlign w:val="subscript"/>
              </w:rPr>
              <w:t xml:space="preserve">надеж</w:t>
            </w:r>
            <w:r>
              <w:t xml:space="preserve"> * 0,6</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w:t>
            </w:r>
          </w:p>
        </w:tc>
        <w:tc>
          <w:tcPr>
            <w:tcW w:w="3515" w:type="dxa"/>
            <w:vMerge w:val="restart"/>
            <w:tcBorders>
              <w:bottom w:val="none"/>
            </w:tcBorders>
          </w:tcPr>
          <w:p>
            <w:pPr>
              <w:pStyle w:val="ConsPlusNormal0"/>
            </w:pPr>
            <w:r>
              <w:t xml:space="preserve">Обеспечивать функционирование эксплуатационной, диспетчерской и аварийной служб (</w:t>
            </w:r>
            <w:hyperlink r:id="rId31" w:tooltip="Федеральный закон от 27.07.2010 N 190-ФЗ (ред. от 23.03.2026) &quot;О теплоснабжении&quot; {КонсультантПлюс}">
              <w:r>
                <w:rPr>
                  <w:color w:val="0000ff"/>
                </w:rPr>
                <w:t xml:space="preserve">пункт 1 части 4 статьи 20</w:t>
              </w:r>
            </w:hyperlink>
            <w:r>
              <w:t xml:space="preserve"> Федерального закона о теплоснабжении)</w:t>
            </w:r>
          </w:p>
        </w:tc>
        <w:tc>
          <w:tcPr>
            <w:tcW w:w="3685" w:type="dxa"/>
          </w:tcPr>
          <w:p>
            <w:pPr>
              <w:pStyle w:val="ConsPlusNormal0"/>
            </w:pPr>
            <w:r>
              <w:t xml:space="preserve">Документы, предусмотренные </w:t>
            </w:r>
            <w:hyperlink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anchor="P103">
              <w:r>
                <w:rPr>
                  <w:color w:val="0000ff"/>
                </w:rPr>
                <w:t xml:space="preserve">подпунктами 9.3.1</w:t>
              </w:r>
            </w:hyperlink>
            <w:r>
              <w:t xml:space="preserve">, </w:t>
            </w:r>
            <w:hyperlink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V Правил N 511." w:anchor="P105">
              <w:r>
                <w:rPr>
                  <w:color w:val="0000ff"/>
                </w:rPr>
                <w:t xml:space="preserve">9.3.3</w:t>
              </w:r>
            </w:hyperlink>
            <w:r>
              <w:t xml:space="preserve"> - </w:t>
            </w:r>
            <w:hyperlink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ом 7 Правил N 511, и (или), в случае эксплуатации оборудования" w:anchor="P117">
              <w:r>
                <w:rPr>
                  <w:color w:val="0000ff"/>
                </w:rPr>
                <w:t xml:space="preserve">9.3.8 пункта 9</w:t>
              </w:r>
            </w:hyperlink>
            <w:r>
              <w:t xml:space="preserve"> Правил</w:t>
            </w:r>
          </w:p>
        </w:tc>
        <w:tc>
          <w:tcPr>
            <w:tcW w:w="2721" w:type="dxa"/>
          </w:tcPr>
          <w:p>
            <w:pPr>
              <w:pStyle w:val="ConsPlusNormal0"/>
            </w:pPr>
            <w:r>
              <w:t xml:space="preserve">Показатель обеспечения функционирования эксплуатационной, диспетчерской и аварийной служб</w:t>
            </w:r>
          </w:p>
        </w:tc>
        <w:tc>
          <w:tcPr>
            <w:tcW w:w="907" w:type="dxa"/>
          </w:tcPr>
          <w:p>
            <w:pPr>
              <w:pStyle w:val="ConsPlusNormal0"/>
            </w:pPr>
            <w:r>
              <w:t xml:space="preserve">0,05</w:t>
            </w:r>
          </w:p>
        </w:tc>
        <w:tc>
          <w:tcPr>
            <w:tcW w:w="1701" w:type="dxa"/>
          </w:tcPr>
          <w:p>
            <w:pPr>
              <w:pStyle w:val="ConsPlusNormal0"/>
            </w:pPr>
            <w:r>
              <w:t xml:space="preserve">К</w:t>
            </w:r>
            <w:r>
              <w:rPr>
                <w:vertAlign w:val="subscript"/>
              </w:rPr>
              <w:t xml:space="preserve">функц</w:t>
            </w:r>
          </w:p>
        </w:tc>
        <w:tc>
          <w:tcPr>
            <w:tcW w:w="2800" w:type="dxa"/>
          </w:tcPr>
          <w:p>
            <w:pPr>
              <w:pStyle w:val="ConsPlusNormal0"/>
            </w:pPr>
            <w:r>
              <w:t xml:space="preserve">К</w:t>
            </w:r>
            <w:r>
              <w:rPr>
                <w:vertAlign w:val="subscript"/>
              </w:rPr>
              <w:t xml:space="preserve">функц</w:t>
            </w:r>
            <w:r>
              <w:t xml:space="preserve"> =</w:t>
            </w:r>
          </w:p>
          <w:p>
            <w:pPr>
              <w:pStyle w:val="ConsPlusNormal0"/>
            </w:pPr>
            <w:r>
              <w:t xml:space="preserve">К</w:t>
            </w:r>
            <w:r>
              <w:rPr>
                <w:vertAlign w:val="subscript"/>
              </w:rPr>
              <w:t xml:space="preserve">шт</w:t>
            </w:r>
            <w:r>
              <w:t xml:space="preserve"> * 0,1 +</w:t>
            </w:r>
          </w:p>
          <w:p>
            <w:pPr>
              <w:pStyle w:val="ConsPlusNormal0"/>
            </w:pPr>
            <w:r>
              <w:t xml:space="preserve">К</w:t>
            </w:r>
            <w:r>
              <w:rPr>
                <w:vertAlign w:val="subscript"/>
              </w:rPr>
              <w:t xml:space="preserve">дисп</w:t>
            </w:r>
            <w:r>
              <w:t xml:space="preserve"> * 0,1 +</w:t>
            </w:r>
          </w:p>
          <w:p>
            <w:pPr>
              <w:pStyle w:val="ConsPlusNormal0"/>
            </w:pPr>
            <w:r>
              <w:t xml:space="preserve">К</w:t>
            </w:r>
            <w:r>
              <w:rPr>
                <w:vertAlign w:val="subscript"/>
              </w:rPr>
              <w:t xml:space="preserve">перечень</w:t>
            </w:r>
            <w:r>
              <w:t xml:space="preserve"> * 0,1 +</w:t>
            </w:r>
          </w:p>
          <w:p>
            <w:pPr>
              <w:pStyle w:val="ConsPlusNormal0"/>
            </w:pPr>
            <w:r>
              <w:t xml:space="preserve">К</w:t>
            </w:r>
            <w:r>
              <w:rPr>
                <w:vertAlign w:val="subscript"/>
              </w:rPr>
              <w:t xml:space="preserve">эксп</w:t>
            </w:r>
            <w:r>
              <w:rPr>
                <w:vertAlign w:val="subscript"/>
              </w:rPr>
              <w:t xml:space="preserve">/</w:t>
            </w:r>
            <w:r>
              <w:rPr>
                <w:vertAlign w:val="subscript"/>
              </w:rPr>
              <w:t xml:space="preserve">произв</w:t>
            </w:r>
            <w:r>
              <w:rPr>
                <w:vertAlign w:val="subscript"/>
              </w:rPr>
              <w:t xml:space="preserve">.и</w:t>
            </w:r>
            <w:r>
              <w:rPr>
                <w:vertAlign w:val="subscript"/>
              </w:rPr>
              <w:t xml:space="preserve">нстр</w:t>
            </w:r>
            <w:r>
              <w:t xml:space="preserve"> * 0,1 +</w:t>
            </w:r>
          </w:p>
          <w:p>
            <w:pPr>
              <w:pStyle w:val="ConsPlusNormal0"/>
            </w:pPr>
            <w:r>
              <w:t xml:space="preserve">К</w:t>
            </w:r>
            <w:r>
              <w:rPr>
                <w:vertAlign w:val="subscript"/>
              </w:rPr>
              <w:t xml:space="preserve">знаний</w:t>
            </w:r>
            <w:r>
              <w:t xml:space="preserve"> * 0,1 +</w:t>
            </w:r>
          </w:p>
          <w:p>
            <w:pPr>
              <w:pStyle w:val="ConsPlusNormal0"/>
            </w:pPr>
            <w:r>
              <w:t xml:space="preserve">К</w:t>
            </w:r>
            <w:r>
              <w:rPr>
                <w:vertAlign w:val="subscript"/>
              </w:rPr>
              <w:t xml:space="preserve">обуч</w:t>
            </w:r>
            <w:r>
              <w:t xml:space="preserve"> * 0,1 +</w:t>
            </w:r>
          </w:p>
          <w:p>
            <w:pPr>
              <w:pStyle w:val="ConsPlusNormal0"/>
            </w:pPr>
            <w:r>
              <w:t xml:space="preserve">К</w:t>
            </w:r>
            <w:r>
              <w:rPr>
                <w:vertAlign w:val="subscript"/>
              </w:rPr>
              <w:t xml:space="preserve">отв</w:t>
            </w:r>
            <w:r>
              <w:t xml:space="preserve"> * 0,1 +</w:t>
            </w:r>
          </w:p>
          <w:p>
            <w:pPr>
              <w:pStyle w:val="ConsPlusNormal0"/>
            </w:pPr>
            <w:r>
              <w:t xml:space="preserve">К</w:t>
            </w:r>
            <w:r>
              <w:rPr>
                <w:vertAlign w:val="subscript"/>
              </w:rPr>
              <w:t xml:space="preserve">охр</w:t>
            </w:r>
            <w:r>
              <w:rPr>
                <w:vertAlign w:val="subscript"/>
              </w:rPr>
              <w:t xml:space="preserve">.т</w:t>
            </w:r>
            <w:r>
              <w:rPr>
                <w:vertAlign w:val="subscript"/>
              </w:rPr>
              <w:t xml:space="preserve">руда</w:t>
            </w:r>
            <w:r>
              <w:t xml:space="preserve"> * 0,15 +</w:t>
            </w:r>
          </w:p>
          <w:p>
            <w:pPr>
              <w:pStyle w:val="ConsPlusNormal0"/>
            </w:pPr>
            <w:r>
              <w:t xml:space="preserve">К</w:t>
            </w:r>
            <w:r>
              <w:rPr>
                <w:vertAlign w:val="subscript"/>
              </w:rPr>
              <w:t xml:space="preserve">трен</w:t>
            </w:r>
            <w:r>
              <w:t xml:space="preserve"> * 0,15</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1.1.1</w:t>
            </w:r>
          </w:p>
        </w:tc>
        <w:tc>
          <w:tcPr>
            <w:tcW w:w="0" w:type="auto"/>
            <w:vMerge w:val="continue"/>
            <w:tcBorders>
              <w:bottom w:val="none"/>
            </w:tcBorders>
          </w:tcPr>
          <w:p>
            <w:pPr>
              <w:pStyle w:val="ConsPlusNormal0"/>
            </w:pPr>
          </w:p>
        </w:tc>
        <w:tc>
          <w:tcPr>
            <w:tcW w:w="3685" w:type="dxa"/>
          </w:tcPr>
          <w:p>
            <w:pPr>
              <w:pStyle w:val="ConsPlusNormal0"/>
            </w:pPr>
            <w: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r>
              <w:t xml:space="preserve">энергосервисные</w:t>
            </w:r>
            <w:r>
              <w:t xml:space="preserve"> контракты в случае привлечения </w:t>
            </w:r>
            <w:r>
              <w:t xml:space="preserve">специализированных организаций для эксплуатации оборудования (</w:t>
            </w:r>
            <w:hyperlink w:tooltip="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 w:anchor="P103">
              <w:r>
                <w:rPr>
                  <w:color w:val="0000ff"/>
                </w:rPr>
                <w:t xml:space="preserve">подпункт 9.3.1 пункта 9</w:t>
              </w:r>
            </w:hyperlink>
            <w:r>
              <w:t xml:space="preserve"> Правил)</w:t>
            </w:r>
          </w:p>
        </w:tc>
        <w:tc>
          <w:tcPr>
            <w:tcW w:w="2721" w:type="dxa"/>
          </w:tcPr>
          <w:p>
            <w:pPr>
              <w:pStyle w:val="ConsPlusNormal0"/>
            </w:pPr>
            <w: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r>
              <w:t xml:space="preserve">энергосервисных</w:t>
            </w:r>
            <w:r>
              <w:t xml:space="preserve"> контрактов</w:t>
            </w:r>
          </w:p>
        </w:tc>
        <w:tc>
          <w:tcPr>
            <w:tcW w:w="907" w:type="dxa"/>
          </w:tcPr>
          <w:p>
            <w:pPr>
              <w:pStyle w:val="ConsPlusNormal0"/>
            </w:pPr>
            <w:r>
              <w:t xml:space="preserve">0,1</w:t>
            </w:r>
          </w:p>
        </w:tc>
        <w:tc>
          <w:tcPr>
            <w:tcW w:w="1701" w:type="dxa"/>
          </w:tcPr>
          <w:p>
            <w:pPr>
              <w:pStyle w:val="ConsPlusNormal0"/>
            </w:pPr>
            <w:r>
              <w:t xml:space="preserve">К</w:t>
            </w:r>
            <w:r>
              <w:rPr>
                <w:vertAlign w:val="subscript"/>
              </w:rPr>
              <w:t xml:space="preserve">шт</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1.1.2</w:t>
            </w:r>
          </w:p>
        </w:tc>
        <w:tc>
          <w:tcPr>
            <w:tcW w:w="0" w:type="auto"/>
            <w:vMerge w:val="continue"/>
            <w:tcBorders>
              <w:bottom w:val="none"/>
            </w:tcBorders>
          </w:tcPr>
          <w:p>
            <w:pPr>
              <w:pStyle w:val="ConsPlusNormal0"/>
            </w:pPr>
          </w:p>
        </w:tc>
        <w:tc>
          <w:tcPr>
            <w:tcW w:w="3685" w:type="dxa"/>
          </w:tcPr>
          <w:p>
            <w:pPr>
              <w:pStyle w:val="ConsPlusNormal0"/>
            </w:pPr>
            <w: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3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главы V</w:t>
              </w:r>
            </w:hyperlink>
            <w:r>
              <w:t xml:space="preserve"> Правил технической эксплуатации объектов теплоснабжения и </w:t>
            </w:r>
            <w:r>
              <w:t xml:space="preserve">теплопотребляющих</w:t>
            </w:r>
            <w:r>
              <w:t xml:space="preserve"> установок, утвержденных приказом Минэнерго России от 14 мая 2025 г. N 511 </w:t>
            </w:r>
            <w:hyperlink w:tooltip="&lt;1&gt; Зарегистрирован Минюстом России 2 июня 2025 г., регистрационный N 82505. В соответствии с пунктом 3 приказа Минэнерго России от 14 мая 2025 г. N 511 данный акт действует до 1 сентября 2030 г." w:anchor="P995">
              <w:r>
                <w:rPr>
                  <w:color w:val="0000ff"/>
                </w:rPr>
                <w:t xml:space="preserve">&lt;1&gt;</w:t>
              </w:r>
            </w:hyperlink>
            <w:r>
              <w:t xml:space="preserve"> (далее - Правила N 511) (</w:t>
            </w:r>
            <w:hyperlink w:tooltip="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V Правил N 511." w:anchor="P105">
              <w:r>
                <w:rPr>
                  <w:color w:val="0000ff"/>
                </w:rPr>
                <w:t xml:space="preserve">подпункт 9.3.3 пункта 9</w:t>
              </w:r>
            </w:hyperlink>
            <w:r>
              <w:t xml:space="preserve"> Правил)</w:t>
            </w:r>
          </w:p>
        </w:tc>
        <w:tc>
          <w:tcPr>
            <w:tcW w:w="2721" w:type="dxa"/>
          </w:tcPr>
          <w:p>
            <w:pPr>
              <w:pStyle w:val="ConsPlusNormal0"/>
            </w:pPr>
            <w:r>
              <w:t xml:space="preserve">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07" w:type="dxa"/>
          </w:tcPr>
          <w:p>
            <w:pPr>
              <w:pStyle w:val="ConsPlusNormal0"/>
            </w:pPr>
            <w:r>
              <w:t xml:space="preserve">0,1</w:t>
            </w:r>
          </w:p>
        </w:tc>
        <w:tc>
          <w:tcPr>
            <w:tcW w:w="1701" w:type="dxa"/>
          </w:tcPr>
          <w:p>
            <w:pPr>
              <w:pStyle w:val="ConsPlusNormal0"/>
            </w:pPr>
            <w:r>
              <w:t xml:space="preserve">К</w:t>
            </w:r>
            <w:r>
              <w:rPr>
                <w:vertAlign w:val="subscript"/>
              </w:rPr>
              <w:t xml:space="preserve">дисп</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1.1.3</w:t>
            </w:r>
          </w:p>
        </w:tc>
        <w:tc>
          <w:tcPr>
            <w:tcW w:w="3515" w:type="dxa"/>
            <w:vMerge w:val="restart"/>
            <w:tcBorders>
              <w:top w:val="none"/>
              <w:bottom w:val="none"/>
            </w:tcBorders>
          </w:tcPr>
          <w:p>
            <w:pPr>
              <w:pStyle w:val="ConsPlusNormal0"/>
            </w:pPr>
          </w:p>
        </w:tc>
        <w:tc>
          <w:tcPr>
            <w:tcW w:w="3685" w:type="dxa"/>
            <w:vMerge w:val="restart"/>
          </w:tcPr>
          <w:p>
            <w:pPr>
              <w:pStyle w:val="ConsPlusNormal0"/>
            </w:pPr>
            <w:r>
              <w:t xml:space="preserve">Организационно-распорядительные документы об утверждении перечня производственных </w:t>
            </w:r>
            <w:r>
              <w:t xml:space="preserve">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3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пунктом 278</w:t>
              </w:r>
            </w:hyperlink>
            <w: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w:t>
            </w:r>
            <w:hyperlink w:tooltip="&lt;2&gt; Зарегистрирован Минюстом России 31 декабря 2020 г., регистрационный N 61998. В соответствии с пунктом 2 приказа Ростехнадзора от 15 декабря 2020 г. N 536 данный акт действует до 1 января 2027 г." w:anchor="P996">
              <w:r>
                <w:rPr>
                  <w:color w:val="0000ff"/>
                </w:rPr>
                <w:t xml:space="preserve">&lt;2&gt;</w:t>
              </w:r>
            </w:hyperlink>
            <w:r>
              <w:t xml:space="preserve"> (далее - Правила промышленной безопасности), и (или) перечня документации эксплуатирующей организации для</w:t>
            </w:r>
            <w:r>
              <w:t xml:space="preserve"> объектов, не являющихся ОПО, разработанного в соответствии с </w:t>
            </w:r>
            <w:hyperlink r:id="rId3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подпунктом 2 пункта 6</w:t>
              </w:r>
            </w:hyperlink>
            <w:r>
              <w:t xml:space="preserve"> Правил N 511 (</w:t>
            </w:r>
            <w:hyperlink w:tooltip="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 w:anchor="P107">
              <w:r>
                <w:rPr>
                  <w:color w:val="0000ff"/>
                </w:rPr>
                <w:t xml:space="preserve">подпункт 9.3.4 пункта 9</w:t>
              </w:r>
            </w:hyperlink>
            <w:r>
              <w:t xml:space="preserve"> Правил)</w:t>
            </w:r>
          </w:p>
        </w:tc>
        <w:tc>
          <w:tcPr>
            <w:tcW w:w="2721" w:type="dxa"/>
          </w:tcPr>
          <w:p>
            <w:pPr>
              <w:pStyle w:val="ConsPlusNormal0"/>
            </w:pPr>
            <w:r>
              <w:t xml:space="preserve">Показатель наличия перечня производственных инструкций для безопасной </w:t>
            </w:r>
            <w:r>
              <w:t xml:space="preserve">эксплуатации котлов и вспомогательного оборудования</w:t>
            </w:r>
          </w:p>
        </w:tc>
        <w:tc>
          <w:tcPr>
            <w:tcW w:w="907" w:type="dxa"/>
          </w:tcPr>
          <w:p>
            <w:pPr>
              <w:pStyle w:val="ConsPlusNormal0"/>
            </w:pPr>
            <w:r>
              <w:t xml:space="preserve">0,1</w:t>
            </w:r>
          </w:p>
        </w:tc>
        <w:tc>
          <w:tcPr>
            <w:tcW w:w="1701" w:type="dxa"/>
          </w:tcPr>
          <w:p>
            <w:pPr>
              <w:pStyle w:val="ConsPlusNormal0"/>
            </w:pPr>
            <w:r>
              <w:t xml:space="preserve">К</w:t>
            </w:r>
            <w:r>
              <w:rPr>
                <w:vertAlign w:val="subscript"/>
              </w:rPr>
              <w:t xml:space="preserve">перечень</w:t>
            </w:r>
          </w:p>
        </w:tc>
        <w:tc>
          <w:tcPr>
            <w:tcW w:w="2800" w:type="dxa"/>
          </w:tcPr>
          <w:p>
            <w:pPr>
              <w:pStyle w:val="ConsPlusNormal0"/>
            </w:pPr>
            <w:r>
              <w:t xml:space="preserve">К</w:t>
            </w:r>
            <w:r>
              <w:rPr>
                <w:vertAlign w:val="subscript"/>
              </w:rPr>
              <w:t xml:space="preserve">перечень</w:t>
            </w:r>
            <w:r>
              <w:t xml:space="preserve"> =</w:t>
            </w:r>
          </w:p>
          <w:p>
            <w:pPr>
              <w:pStyle w:val="ConsPlusNormal0"/>
            </w:pPr>
            <w:r>
              <w:t xml:space="preserve">К</w:t>
            </w:r>
            <w:r>
              <w:rPr>
                <w:vertAlign w:val="subscript"/>
              </w:rPr>
              <w:t xml:space="preserve">переченьОПО</w:t>
            </w:r>
            <w:r>
              <w:t xml:space="preserve"> * 0,5 +</w:t>
            </w:r>
          </w:p>
          <w:p>
            <w:pPr>
              <w:pStyle w:val="ConsPlusNormal0"/>
            </w:pPr>
            <w:r>
              <w:t xml:space="preserve">К</w:t>
            </w:r>
            <w:r>
              <w:rPr>
                <w:vertAlign w:val="subscript"/>
              </w:rPr>
              <w:t xml:space="preserve">перечень</w:t>
            </w:r>
            <w:r>
              <w:rPr>
                <w:vertAlign w:val="subscript"/>
              </w:rPr>
              <w:t xml:space="preserve"> </w:t>
            </w:r>
            <w:r>
              <w:rPr>
                <w:vertAlign w:val="subscript"/>
              </w:rPr>
              <w:t xml:space="preserve">неОПО</w:t>
            </w:r>
            <w:r>
              <w:t xml:space="preserve"> * 0,5</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1.1.3.1</w:t>
            </w:r>
          </w:p>
        </w:tc>
        <w:tc>
          <w:tcPr>
            <w:tcW w:w="0" w:type="auto"/>
            <w:vMerge w:val="continue"/>
            <w:tcBorders>
              <w:top w:val="none"/>
              <w:bottom w:val="none"/>
            </w:tcBorders>
          </w:tcPr>
          <w:p>
            <w:pPr>
              <w:pStyle w:val="ConsPlusNormal0"/>
            </w:pPr>
          </w:p>
        </w:tc>
        <w:tc>
          <w:tcPr>
            <w:tcW w:w="0" w:type="auto"/>
            <w:vMerge w:val="continue"/>
          </w:tcPr>
          <w:p>
            <w:pPr>
              <w:pStyle w:val="ConsPlusNormal0"/>
            </w:pPr>
          </w:p>
        </w:tc>
        <w:tc>
          <w:tcPr>
            <w:tcW w:w="2721" w:type="dxa"/>
            <w:vAlign w:val="bottom"/>
          </w:tcPr>
          <w:p>
            <w:pPr>
              <w:pStyle w:val="ConsPlusNormal0"/>
            </w:pPr>
            <w:r>
              <w:t xml:space="preserve">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07" w:type="dxa"/>
          </w:tcPr>
          <w:p>
            <w:pPr>
              <w:pStyle w:val="ConsPlusNormal0"/>
            </w:pPr>
            <w:r>
              <w:t xml:space="preserve">0,5</w:t>
            </w:r>
          </w:p>
        </w:tc>
        <w:tc>
          <w:tcPr>
            <w:tcW w:w="1701" w:type="dxa"/>
          </w:tcPr>
          <w:p>
            <w:pPr>
              <w:pStyle w:val="ConsPlusNormal0"/>
            </w:pPr>
            <w:r>
              <w:t xml:space="preserve">К</w:t>
            </w:r>
            <w:r>
              <w:rPr>
                <w:vertAlign w:val="subscript"/>
              </w:rPr>
              <w:t xml:space="preserve">переченьОПО</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1.1.3.2</w:t>
            </w:r>
          </w:p>
        </w:tc>
        <w:tc>
          <w:tcPr>
            <w:tcW w:w="0" w:type="auto"/>
            <w:vMerge w:val="continue"/>
            <w:tcBorders>
              <w:top w:val="none"/>
              <w:bottom w:val="none"/>
            </w:tcBorders>
          </w:tcPr>
          <w:p>
            <w:pPr>
              <w:pStyle w:val="ConsPlusNormal0"/>
            </w:pPr>
          </w:p>
        </w:tc>
        <w:tc>
          <w:tcPr>
            <w:tcW w:w="0" w:type="auto"/>
            <w:vMerge w:val="continue"/>
          </w:tcPr>
          <w:p>
            <w:pPr>
              <w:pStyle w:val="ConsPlusNormal0"/>
            </w:pPr>
          </w:p>
        </w:tc>
        <w:tc>
          <w:tcPr>
            <w:tcW w:w="2721" w:type="dxa"/>
          </w:tcPr>
          <w:p>
            <w:pPr>
              <w:pStyle w:val="ConsPlusNormal0"/>
            </w:pPr>
            <w:r>
              <w:t xml:space="preserve">Показатель наличия перечня документации эксплуатирующей организации для объектов, не являющихся ОПО</w:t>
            </w:r>
          </w:p>
        </w:tc>
        <w:tc>
          <w:tcPr>
            <w:tcW w:w="907" w:type="dxa"/>
          </w:tcPr>
          <w:p>
            <w:pPr>
              <w:pStyle w:val="ConsPlusNormal0"/>
            </w:pPr>
            <w:r>
              <w:t xml:space="preserve">0,5</w:t>
            </w:r>
          </w:p>
        </w:tc>
        <w:tc>
          <w:tcPr>
            <w:tcW w:w="1701" w:type="dxa"/>
          </w:tcPr>
          <w:p>
            <w:pPr>
              <w:pStyle w:val="ConsPlusNormal0"/>
            </w:pPr>
            <w:r>
              <w:t xml:space="preserve">К</w:t>
            </w:r>
            <w:r>
              <w:rPr>
                <w:vertAlign w:val="subscript"/>
              </w:rPr>
              <w:t xml:space="preserve">перечень</w:t>
            </w:r>
            <w:r>
              <w:rPr>
                <w:vertAlign w:val="subscript"/>
              </w:rPr>
              <w:t xml:space="preserve"> </w:t>
            </w:r>
            <w:r>
              <w:rPr>
                <w:vertAlign w:val="subscript"/>
              </w:rPr>
              <w:t xml:space="preserve">неОПО</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1.1.4</w:t>
            </w:r>
          </w:p>
        </w:tc>
        <w:tc>
          <w:tcPr>
            <w:tcW w:w="0" w:type="auto"/>
            <w:vMerge w:val="continue"/>
            <w:tcBorders>
              <w:top w:val="none"/>
              <w:bottom w:val="none"/>
            </w:tcBorders>
          </w:tcPr>
          <w:p>
            <w:pPr>
              <w:pStyle w:val="ConsPlusNormal0"/>
            </w:pPr>
          </w:p>
        </w:tc>
        <w:tc>
          <w:tcPr>
            <w:tcW w:w="3685" w:type="dxa"/>
            <w:vAlign w:val="bottom"/>
          </w:tcPr>
          <w:p>
            <w:pPr>
              <w:pStyle w:val="ConsPlusNormal0"/>
            </w:pPr>
            <w:r>
              <w:t xml:space="preserve">Утвержденные в соответствии с требованиями </w:t>
            </w:r>
            <w:hyperlink r:id="rId3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35</w:t>
              </w:r>
            </w:hyperlink>
            <w:r>
              <w:t xml:space="preserve"> и </w:t>
            </w:r>
            <w:hyperlink r:id="rId3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38</w:t>
              </w:r>
            </w:hyperlink>
            <w:r>
              <w:t xml:space="preserve"> Правил N 511 эксплуатационные инструкции объектов теплоснабжения и (или) производственные инструкции, разработанные в соответствии с </w:t>
            </w:r>
            <w:hyperlink r:id="rId3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пунктами 278</w:t>
              </w:r>
            </w:hyperlink>
            <w:r>
              <w:t xml:space="preserve">, </w:t>
            </w:r>
            <w:hyperlink r:id="rId38"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363</w:t>
              </w:r>
            </w:hyperlink>
            <w:r>
              <w:t xml:space="preserve"> и</w:t>
            </w:r>
            <w:r>
              <w:t xml:space="preserve"> </w:t>
            </w:r>
            <w:hyperlink r:id="rId39"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364</w:t>
              </w:r>
            </w:hyperlink>
            <w:r>
              <w:t xml:space="preserve"> Правил промышленной безопасности (</w:t>
            </w:r>
            <w:hyperlink w:tooltip="9.3.5. Утвержденные в соответствии с требованиями пунктов 35 и 38 Правил N 511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anchor="P109">
              <w:r>
                <w:rPr>
                  <w:color w:val="0000ff"/>
                </w:rPr>
                <w:t xml:space="preserve">подпункт 9.3.5 пункта 9</w:t>
              </w:r>
            </w:hyperlink>
            <w:r>
              <w:t xml:space="preserve"> Правил)</w:t>
            </w:r>
          </w:p>
        </w:tc>
        <w:tc>
          <w:tcPr>
            <w:tcW w:w="2721" w:type="dxa"/>
          </w:tcPr>
          <w:p>
            <w:pPr>
              <w:pStyle w:val="ConsPlusNormal0"/>
            </w:pPr>
            <w:r>
              <w:t xml:space="preserve">Показатель наличия эксплуатационных инструкций объектов теплоснабжения и (или) производственных инструкций</w:t>
            </w:r>
          </w:p>
        </w:tc>
        <w:tc>
          <w:tcPr>
            <w:tcW w:w="907" w:type="dxa"/>
          </w:tcPr>
          <w:p>
            <w:pPr>
              <w:pStyle w:val="ConsPlusNormal0"/>
            </w:pPr>
            <w:r>
              <w:t xml:space="preserve">0,1</w:t>
            </w:r>
          </w:p>
        </w:tc>
        <w:tc>
          <w:tcPr>
            <w:tcW w:w="1701" w:type="dxa"/>
          </w:tcPr>
          <w:p>
            <w:pPr>
              <w:pStyle w:val="ConsPlusNormal0"/>
            </w:pPr>
            <w:r>
              <w:t xml:space="preserve">К</w:t>
            </w:r>
            <w:r>
              <w:rPr>
                <w:vertAlign w:val="subscript"/>
              </w:rPr>
              <w:t xml:space="preserve">экспл</w:t>
            </w:r>
            <w:r>
              <w:rPr>
                <w:vertAlign w:val="subscript"/>
              </w:rPr>
              <w:t xml:space="preserve">/</w:t>
            </w:r>
            <w:r>
              <w:rPr>
                <w:vertAlign w:val="subscript"/>
              </w:rPr>
              <w:t xml:space="preserve">произв</w:t>
            </w:r>
            <w:r>
              <w:rPr>
                <w:vertAlign w:val="subscript"/>
              </w:rPr>
              <w:t xml:space="preserve">.и</w:t>
            </w:r>
            <w:r>
              <w:rPr>
                <w:vertAlign w:val="subscript"/>
              </w:rPr>
              <w:t xml:space="preserve">нстр</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1.1.5</w:t>
            </w:r>
          </w:p>
        </w:tc>
        <w:tc>
          <w:tcPr>
            <w:tcW w:w="3515" w:type="dxa"/>
            <w:vMerge w:val="restart"/>
            <w:tcBorders>
              <w:top w:val="none"/>
              <w:bottom w:val="none"/>
            </w:tcBorders>
          </w:tcPr>
          <w:p>
            <w:pPr>
              <w:pStyle w:val="ConsPlusNormal0"/>
            </w:pPr>
          </w:p>
        </w:tc>
        <w:tc>
          <w:tcPr>
            <w:tcW w:w="3685" w:type="dxa"/>
            <w:vMerge w:val="restart"/>
          </w:tcPr>
          <w:p>
            <w:pPr>
              <w:pStyle w:val="ConsPlusNormal0"/>
            </w:pPr>
            <w:r>
              <w:t xml:space="preserve">Копии удостоверений о проверке знаний или журнала проверки знаний, протоколов проверки знаний, предусмотренных </w:t>
            </w:r>
            <w:hyperlink r:id="rId40"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color w:val="0000ff"/>
                </w:rPr>
                <w:t xml:space="preserve">пунктами 43</w:t>
              </w:r>
            </w:hyperlink>
            <w:r>
              <w:t xml:space="preserve"> - </w:t>
            </w:r>
            <w:hyperlink r:id="rId41"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color w:val="0000ff"/>
                </w:rPr>
                <w:t xml:space="preserve">45</w:t>
              </w:r>
            </w:hyperlink>
            <w: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w:t>
            </w:r>
            <w:hyperlink w:tooltip="&lt;3&gt; Зарегистрирован Минюстом России 7 октября 2022 г., регистрационный N 70433." w:anchor="P997">
              <w:r>
                <w:rPr>
                  <w:color w:val="0000ff"/>
                </w:rPr>
                <w:t xml:space="preserve">&lt;3&gt;</w:t>
              </w:r>
            </w:hyperlink>
            <w:r>
              <w:t xml:space="preserve"> (далее - Правила технической эксплуатации </w:t>
            </w:r>
            <w:r>
              <w:t xml:space="preserve">электроустановок потребителей), </w:t>
            </w:r>
            <w:hyperlink r:id="rId4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пунктами 70</w:t>
              </w:r>
            </w:hyperlink>
            <w:r>
              <w:t xml:space="preserve">,</w:t>
            </w:r>
            <w:r>
              <w:t xml:space="preserve"> </w:t>
            </w:r>
            <w:hyperlink r:id="rId4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71</w:t>
              </w:r>
            </w:hyperlink>
            <w:r>
              <w:t xml:space="preserve"> Правил N 511,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4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пунктом 238</w:t>
              </w:r>
            </w:hyperlink>
            <w:r>
              <w:t xml:space="preserve"> Правил промышленной безопасности, в случае эксплуатации ОПО</w:t>
            </w:r>
          </w:p>
          <w:p>
            <w:pPr>
              <w:pStyle w:val="ConsPlusNormal0"/>
            </w:pPr>
            <w:r>
              <w:t xml:space="preserve">(</w:t>
            </w:r>
            <w:hyperlink w:tooltip="9.3.6. 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 w:anchor="P111">
              <w:r>
                <w:rPr>
                  <w:color w:val="0000ff"/>
                </w:rPr>
                <w:t xml:space="preserve">подпункт 9.3.6 пункта 9</w:t>
              </w:r>
            </w:hyperlink>
            <w:r>
              <w:t xml:space="preserve"> Правил)</w:t>
            </w:r>
          </w:p>
        </w:tc>
        <w:tc>
          <w:tcPr>
            <w:tcW w:w="2721" w:type="dxa"/>
          </w:tcPr>
          <w:p>
            <w:pPr>
              <w:pStyle w:val="ConsPlusNormal0"/>
            </w:pPr>
            <w:r>
              <w:t xml:space="preserve">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907" w:type="dxa"/>
          </w:tcPr>
          <w:p>
            <w:pPr>
              <w:pStyle w:val="ConsPlusNormal0"/>
            </w:pPr>
            <w:r>
              <w:t xml:space="preserve">0,1</w:t>
            </w:r>
          </w:p>
        </w:tc>
        <w:tc>
          <w:tcPr>
            <w:tcW w:w="1701" w:type="dxa"/>
          </w:tcPr>
          <w:p>
            <w:pPr>
              <w:pStyle w:val="ConsPlusNormal0"/>
            </w:pPr>
            <w:r>
              <w:t xml:space="preserve">К</w:t>
            </w:r>
            <w:r>
              <w:rPr>
                <w:vertAlign w:val="subscript"/>
              </w:rPr>
              <w:t xml:space="preserve">знаний</w:t>
            </w:r>
          </w:p>
        </w:tc>
        <w:tc>
          <w:tcPr>
            <w:tcW w:w="2800" w:type="dxa"/>
          </w:tcPr>
          <w:p>
            <w:pPr>
              <w:pStyle w:val="ConsPlusNormal0"/>
            </w:pPr>
            <w:r>
              <w:t xml:space="preserve">К</w:t>
            </w:r>
            <w:r>
              <w:rPr>
                <w:vertAlign w:val="subscript"/>
              </w:rPr>
              <w:t xml:space="preserve">знаний</w:t>
            </w:r>
            <w:r>
              <w:t xml:space="preserve"> =</w:t>
            </w:r>
          </w:p>
          <w:p>
            <w:pPr>
              <w:pStyle w:val="ConsPlusNormal0"/>
            </w:pPr>
            <w:r>
              <w:t xml:space="preserve">К</w:t>
            </w:r>
            <w:r>
              <w:rPr>
                <w:vertAlign w:val="subscript"/>
              </w:rPr>
              <w:t xml:space="preserve">пров</w:t>
            </w:r>
            <w:r>
              <w:rPr>
                <w:vertAlign w:val="subscript"/>
              </w:rPr>
              <w:t xml:space="preserve"> </w:t>
            </w:r>
            <w:r>
              <w:rPr>
                <w:vertAlign w:val="subscript"/>
              </w:rPr>
              <w:t xml:space="preserve">зн</w:t>
            </w:r>
            <w:r>
              <w:rPr>
                <w:vertAlign w:val="subscript"/>
              </w:rPr>
              <w:t xml:space="preserve"> не ОПО</w:t>
            </w:r>
            <w:r>
              <w:t xml:space="preserve"> * 0,5 +</w:t>
            </w:r>
          </w:p>
          <w:p>
            <w:pPr>
              <w:pStyle w:val="ConsPlusNormal0"/>
            </w:pPr>
            <w:r>
              <w:t xml:space="preserve">К</w:t>
            </w:r>
            <w:r>
              <w:rPr>
                <w:vertAlign w:val="subscript"/>
              </w:rPr>
              <w:t xml:space="preserve">пров</w:t>
            </w:r>
            <w:r>
              <w:rPr>
                <w:vertAlign w:val="subscript"/>
              </w:rPr>
              <w:t xml:space="preserve"> </w:t>
            </w:r>
            <w:r>
              <w:rPr>
                <w:vertAlign w:val="subscript"/>
              </w:rPr>
              <w:t xml:space="preserve">зн</w:t>
            </w:r>
            <w:r>
              <w:rPr>
                <w:vertAlign w:val="subscript"/>
              </w:rPr>
              <w:t xml:space="preserve"> ОПО</w:t>
            </w:r>
            <w:r>
              <w:t xml:space="preserve"> * 0,5</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1.1.5.1</w:t>
            </w:r>
          </w:p>
        </w:tc>
        <w:tc>
          <w:tcPr>
            <w:tcW w:w="0" w:type="auto"/>
            <w:vMerge w:val="continue"/>
            <w:tcBorders>
              <w:top w:val="none"/>
              <w:bottom w:val="none"/>
            </w:tcBorders>
          </w:tcPr>
          <w:p>
            <w:pPr>
              <w:pStyle w:val="ConsPlusNormal0"/>
            </w:pPr>
          </w:p>
        </w:tc>
        <w:tc>
          <w:tcPr>
            <w:tcW w:w="0" w:type="auto"/>
            <w:vMerge w:val="continue"/>
          </w:tcPr>
          <w:p>
            <w:pPr>
              <w:pStyle w:val="ConsPlusNormal0"/>
            </w:pPr>
          </w:p>
        </w:tc>
        <w:tc>
          <w:tcPr>
            <w:tcW w:w="2721" w:type="dxa"/>
          </w:tcPr>
          <w:p>
            <w:pPr>
              <w:pStyle w:val="ConsPlusNormal0"/>
            </w:pPr>
            <w:r>
              <w:t xml:space="preserve">Показатель наличия удостоверений о проверке знаний или журнала проверки знаний, протоколов проверки знаний, предусмотренных </w:t>
            </w:r>
            <w:hyperlink r:id="rId45" w:tooltip="Приказ Минэнерго России от 12.08.2022 N 811 &quot;Об утверждении Правил технической эксплуатации электроустановок потребителей электрической энергии&quot; (Зарегистрировано в Минюсте России 07.10.2022 N 70433) {КонсультантПлюс}">
              <w:r>
                <w:rPr>
                  <w:color w:val="0000ff"/>
                </w:rPr>
                <w:t xml:space="preserve">Правилами</w:t>
              </w:r>
            </w:hyperlink>
            <w:r>
              <w:t xml:space="preserve"> технической эксплуатации электроустановок потребителей, </w:t>
            </w:r>
            <w:hyperlink r:id="rId4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Правилами</w:t>
              </w:r>
            </w:hyperlink>
            <w:r>
              <w:t xml:space="preserve"> N 511</w:t>
            </w:r>
          </w:p>
        </w:tc>
        <w:tc>
          <w:tcPr>
            <w:tcW w:w="907" w:type="dxa"/>
          </w:tcPr>
          <w:p>
            <w:pPr>
              <w:pStyle w:val="ConsPlusNormal0"/>
            </w:pPr>
            <w:r>
              <w:t xml:space="preserve">0,5</w:t>
            </w:r>
          </w:p>
        </w:tc>
        <w:tc>
          <w:tcPr>
            <w:tcW w:w="1701" w:type="dxa"/>
          </w:tcPr>
          <w:p>
            <w:pPr>
              <w:pStyle w:val="ConsPlusNormal0"/>
            </w:pPr>
            <w:r>
              <w:t xml:space="preserve">К</w:t>
            </w:r>
            <w:r>
              <w:rPr>
                <w:vertAlign w:val="subscript"/>
              </w:rPr>
              <w:t xml:space="preserve">пров</w:t>
            </w:r>
            <w:r>
              <w:rPr>
                <w:vertAlign w:val="subscript"/>
              </w:rPr>
              <w:t xml:space="preserve"> </w:t>
            </w:r>
            <w:r>
              <w:rPr>
                <w:vertAlign w:val="subscript"/>
              </w:rPr>
              <w:t xml:space="preserve">зн</w:t>
            </w:r>
            <w:r>
              <w:rPr>
                <w:vertAlign w:val="subscript"/>
              </w:rPr>
              <w:t xml:space="preserve"> не ОПО</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1.1.5.2</w:t>
            </w:r>
          </w:p>
        </w:tc>
        <w:tc>
          <w:tcPr>
            <w:tcW w:w="0" w:type="auto"/>
            <w:vMerge w:val="continue"/>
            <w:tcBorders>
              <w:top w:val="none"/>
              <w:bottom w:val="none"/>
            </w:tcBorders>
          </w:tcPr>
          <w:p>
            <w:pPr>
              <w:pStyle w:val="ConsPlusNormal0"/>
            </w:pPr>
          </w:p>
        </w:tc>
        <w:tc>
          <w:tcPr>
            <w:tcW w:w="0" w:type="auto"/>
            <w:vMerge w:val="continue"/>
          </w:tcPr>
          <w:p>
            <w:pPr>
              <w:pStyle w:val="ConsPlusNormal0"/>
            </w:pPr>
          </w:p>
        </w:tc>
        <w:tc>
          <w:tcPr>
            <w:tcW w:w="2721" w:type="dxa"/>
          </w:tcPr>
          <w:p>
            <w:pPr>
              <w:pStyle w:val="ConsPlusNormal0"/>
            </w:pPr>
            <w: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4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Правилами</w:t>
              </w:r>
            </w:hyperlink>
            <w:r>
              <w:t xml:space="preserve"> промышленной безопасности, в случае эксплуатации ОПО</w:t>
            </w:r>
          </w:p>
        </w:tc>
        <w:tc>
          <w:tcPr>
            <w:tcW w:w="907" w:type="dxa"/>
          </w:tcPr>
          <w:p>
            <w:pPr>
              <w:pStyle w:val="ConsPlusNormal0"/>
            </w:pPr>
            <w:r>
              <w:t xml:space="preserve">0,5</w:t>
            </w:r>
          </w:p>
        </w:tc>
        <w:tc>
          <w:tcPr>
            <w:tcW w:w="1701" w:type="dxa"/>
          </w:tcPr>
          <w:p>
            <w:pPr>
              <w:pStyle w:val="ConsPlusNormal0"/>
            </w:pPr>
            <w:r>
              <w:t xml:space="preserve">К</w:t>
            </w:r>
            <w:r>
              <w:rPr>
                <w:vertAlign w:val="subscript"/>
              </w:rPr>
              <w:t xml:space="preserve">пров</w:t>
            </w:r>
            <w:r>
              <w:rPr>
                <w:vertAlign w:val="subscript"/>
              </w:rPr>
              <w:t xml:space="preserve"> </w:t>
            </w:r>
            <w:r>
              <w:rPr>
                <w:vertAlign w:val="subscript"/>
              </w:rPr>
              <w:t xml:space="preserve">зн</w:t>
            </w:r>
            <w:r>
              <w:rPr>
                <w:vertAlign w:val="subscript"/>
              </w:rPr>
              <w:t xml:space="preserve"> ОПО</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1.1.6</w:t>
            </w:r>
          </w:p>
        </w:tc>
        <w:tc>
          <w:tcPr>
            <w:tcW w:w="3515" w:type="dxa"/>
            <w:vMerge w:val="restart"/>
            <w:tcBorders>
              <w:top w:val="none"/>
              <w:bottom w:val="none"/>
            </w:tcBorders>
          </w:tcPr>
          <w:p>
            <w:pPr>
              <w:pStyle w:val="ConsPlusNormal0"/>
            </w:pPr>
          </w:p>
        </w:tc>
        <w:tc>
          <w:tcPr>
            <w:tcW w:w="3685" w:type="dxa"/>
          </w:tcPr>
          <w:p>
            <w:pPr>
              <w:pStyle w:val="ConsPlusNormal0"/>
            </w:pPr>
            <w:r>
              <w:t xml:space="preserve">Копии документов, подтверждающих </w:t>
            </w:r>
            <w:r>
              <w:t xml:space="preserve">проведение обучения работников действиям в случае аварии или инцидента на опасном производственном объекте, в соответствии со </w:t>
            </w:r>
            <w:hyperlink r:id="rId4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 xml:space="preserve">статьей 10</w:t>
              </w:r>
            </w:hyperlink>
            <w: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p>
            <w:pPr>
              <w:pStyle w:val="ConsPlusNormal0"/>
            </w:pPr>
            <w:r>
              <w:t xml:space="preserve">(</w:t>
            </w:r>
            <w:hyperlink w:tooltip="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 w:anchor="P116">
              <w:r>
                <w:rPr>
                  <w:color w:val="0000ff"/>
                </w:rPr>
                <w:t xml:space="preserve">подпункт 9.3.7 пункта 9</w:t>
              </w:r>
            </w:hyperlink>
            <w:r>
              <w:t xml:space="preserve"> Правил)</w:t>
            </w:r>
          </w:p>
        </w:tc>
        <w:tc>
          <w:tcPr>
            <w:tcW w:w="2721" w:type="dxa"/>
          </w:tcPr>
          <w:p>
            <w:pPr>
              <w:pStyle w:val="ConsPlusNormal0"/>
            </w:pPr>
            <w:r>
              <w:t xml:space="preserve">Показатель наличия документов, </w:t>
            </w:r>
            <w:r>
              <w:t xml:space="preserve">подтверждающих проведение обучения работников действиям в случае аварии или инцидента на опасном производственном объекте</w:t>
            </w:r>
          </w:p>
        </w:tc>
        <w:tc>
          <w:tcPr>
            <w:tcW w:w="907" w:type="dxa"/>
          </w:tcPr>
          <w:p>
            <w:pPr>
              <w:pStyle w:val="ConsPlusNormal0"/>
            </w:pPr>
            <w:r>
              <w:t xml:space="preserve">0,1</w:t>
            </w:r>
          </w:p>
        </w:tc>
        <w:tc>
          <w:tcPr>
            <w:tcW w:w="1701" w:type="dxa"/>
          </w:tcPr>
          <w:p>
            <w:pPr>
              <w:pStyle w:val="ConsPlusNormal0"/>
            </w:pPr>
            <w:r>
              <w:t xml:space="preserve">К</w:t>
            </w:r>
            <w:r>
              <w:rPr>
                <w:vertAlign w:val="subscript"/>
              </w:rPr>
              <w:t xml:space="preserve">обуч</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1.1.7</w:t>
            </w:r>
          </w:p>
        </w:tc>
        <w:tc>
          <w:tcPr>
            <w:tcW w:w="0" w:type="auto"/>
            <w:vMerge w:val="continue"/>
            <w:tcBorders>
              <w:top w:val="none"/>
              <w:bottom w:val="none"/>
            </w:tcBorders>
          </w:tcPr>
          <w:p>
            <w:pPr>
              <w:pStyle w:val="ConsPlusNormal0"/>
            </w:pPr>
          </w:p>
        </w:tc>
        <w:tc>
          <w:tcPr>
            <w:tcW w:w="3685" w:type="dxa"/>
            <w:vMerge w:val="restart"/>
          </w:tcPr>
          <w:p>
            <w:pPr>
              <w:pStyle w:val="ConsPlusNormal0"/>
            </w:pPr>
            <w: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hyperlink r:id="rId4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пунктом 7</w:t>
              </w:r>
            </w:hyperlink>
            <w:r>
              <w:t xml:space="preserve"> Правил N 511, и (или) ответственных лиц за безопасную эксплуатацию оборудования, работающего под </w:t>
            </w:r>
            <w:r>
              <w:t xml:space="preserve">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5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пунктом 228</w:t>
              </w:r>
            </w:hyperlink>
            <w:r>
              <w:t xml:space="preserve"> Правил промышленной безопасности (</w:t>
            </w:r>
            <w:hyperlink w:tooltip="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ом 7 Правил N 511, и (или), в случае эксплуатации оборудования" w:anchor="P117">
              <w:r>
                <w:rPr>
                  <w:color w:val="0000ff"/>
                </w:rPr>
                <w:t xml:space="preserve">подпункт 9.3.8 пункта 9</w:t>
              </w:r>
            </w:hyperlink>
            <w:r>
              <w:t xml:space="preserve"> Правил)</w:t>
            </w:r>
          </w:p>
        </w:tc>
        <w:tc>
          <w:tcPr>
            <w:tcW w:w="2721" w:type="dxa"/>
          </w:tcPr>
          <w:p>
            <w:pPr>
              <w:pStyle w:val="ConsPlusNormal0"/>
            </w:pPr>
            <w:r>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w:t>
            </w:r>
            <w:r>
              <w:t xml:space="preserve">контроля при эксплуатации оборудования на ОПО</w:t>
            </w:r>
          </w:p>
        </w:tc>
        <w:tc>
          <w:tcPr>
            <w:tcW w:w="907" w:type="dxa"/>
          </w:tcPr>
          <w:p>
            <w:pPr>
              <w:pStyle w:val="ConsPlusNormal0"/>
            </w:pPr>
            <w:r>
              <w:t xml:space="preserve">0,1</w:t>
            </w:r>
          </w:p>
        </w:tc>
        <w:tc>
          <w:tcPr>
            <w:tcW w:w="1701" w:type="dxa"/>
          </w:tcPr>
          <w:p>
            <w:pPr>
              <w:pStyle w:val="ConsPlusNormal0"/>
            </w:pPr>
            <w:r>
              <w:t xml:space="preserve">К</w:t>
            </w:r>
            <w:r>
              <w:rPr>
                <w:vertAlign w:val="subscript"/>
              </w:rPr>
              <w:t xml:space="preserve">отв</w:t>
            </w:r>
          </w:p>
        </w:tc>
        <w:tc>
          <w:tcPr>
            <w:tcW w:w="2800" w:type="dxa"/>
          </w:tcPr>
          <w:p>
            <w:pPr>
              <w:pStyle w:val="ConsPlusNormal0"/>
            </w:pPr>
            <w:r>
              <w:t xml:space="preserve">К</w:t>
            </w:r>
            <w:r>
              <w:rPr>
                <w:vertAlign w:val="subscript"/>
              </w:rPr>
              <w:t xml:space="preserve">отв</w:t>
            </w:r>
            <w:r>
              <w:t xml:space="preserve"> =</w:t>
            </w:r>
          </w:p>
          <w:p>
            <w:pPr>
              <w:pStyle w:val="ConsPlusNormal0"/>
            </w:pPr>
            <w:r>
              <w:t xml:space="preserve">К</w:t>
            </w:r>
            <w:r>
              <w:rPr>
                <w:vertAlign w:val="subscript"/>
              </w:rPr>
              <w:t xml:space="preserve">отв</w:t>
            </w:r>
            <w:r>
              <w:rPr>
                <w:vertAlign w:val="subscript"/>
              </w:rPr>
              <w:t xml:space="preserve"> </w:t>
            </w:r>
            <w:r>
              <w:rPr>
                <w:vertAlign w:val="subscript"/>
              </w:rPr>
              <w:t xml:space="preserve">неОПО</w:t>
            </w:r>
            <w:r>
              <w:t xml:space="preserve"> * 0,5 +</w:t>
            </w:r>
          </w:p>
          <w:p>
            <w:pPr>
              <w:pStyle w:val="ConsPlusNormal0"/>
            </w:pPr>
            <w:r>
              <w:t xml:space="preserve">К</w:t>
            </w:r>
            <w:r>
              <w:rPr>
                <w:vertAlign w:val="subscript"/>
              </w:rPr>
              <w:t xml:space="preserve">отв</w:t>
            </w:r>
            <w:r>
              <w:rPr>
                <w:vertAlign w:val="subscript"/>
              </w:rPr>
              <w:t xml:space="preserve"> ОПО</w:t>
            </w:r>
            <w:r>
              <w:t xml:space="preserve"> * 0,5</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1.1.7.1</w:t>
            </w:r>
          </w:p>
        </w:tc>
        <w:tc>
          <w:tcPr>
            <w:tcW w:w="0" w:type="auto"/>
            <w:vMerge w:val="continue"/>
            <w:tcBorders>
              <w:top w:val="none"/>
              <w:bottom w:val="none"/>
            </w:tcBorders>
          </w:tcPr>
          <w:p>
            <w:pPr>
              <w:pStyle w:val="ConsPlusNormal0"/>
            </w:pPr>
          </w:p>
        </w:tc>
        <w:tc>
          <w:tcPr>
            <w:tcW w:w="0" w:type="auto"/>
            <w:vMerge w:val="continue"/>
          </w:tcPr>
          <w:p>
            <w:pPr>
              <w:pStyle w:val="ConsPlusNormal0"/>
            </w:pPr>
          </w:p>
        </w:tc>
        <w:tc>
          <w:tcPr>
            <w:tcW w:w="2721" w:type="dxa"/>
          </w:tcPr>
          <w:p>
            <w:pPr>
              <w:pStyle w:val="ConsPlusNormal0"/>
            </w:pPr>
            <w:r>
              <w:t xml:space="preserve">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907" w:type="dxa"/>
          </w:tcPr>
          <w:p>
            <w:pPr>
              <w:pStyle w:val="ConsPlusNormal0"/>
            </w:pPr>
            <w:r>
              <w:t xml:space="preserve">0,5</w:t>
            </w:r>
          </w:p>
        </w:tc>
        <w:tc>
          <w:tcPr>
            <w:tcW w:w="1701" w:type="dxa"/>
          </w:tcPr>
          <w:p>
            <w:pPr>
              <w:pStyle w:val="ConsPlusNormal0"/>
            </w:pPr>
            <w:r>
              <w:t xml:space="preserve">К</w:t>
            </w:r>
            <w:r>
              <w:rPr>
                <w:vertAlign w:val="subscript"/>
              </w:rPr>
              <w:t xml:space="preserve">отв</w:t>
            </w:r>
            <w:r>
              <w:rPr>
                <w:vertAlign w:val="subscript"/>
              </w:rPr>
              <w:t xml:space="preserve"> </w:t>
            </w:r>
            <w:r>
              <w:rPr>
                <w:vertAlign w:val="subscript"/>
              </w:rPr>
              <w:t xml:space="preserve">неОПО</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1.1.7.2</w:t>
            </w:r>
          </w:p>
        </w:tc>
        <w:tc>
          <w:tcPr>
            <w:tcW w:w="0" w:type="auto"/>
            <w:vMerge w:val="continue"/>
            <w:tcBorders>
              <w:top w:val="none"/>
              <w:bottom w:val="none"/>
            </w:tcBorders>
          </w:tcPr>
          <w:p>
            <w:pPr>
              <w:pStyle w:val="ConsPlusNormal0"/>
            </w:pPr>
          </w:p>
        </w:tc>
        <w:tc>
          <w:tcPr>
            <w:tcW w:w="0" w:type="auto"/>
            <w:vMerge w:val="continue"/>
          </w:tcPr>
          <w:p>
            <w:pPr>
              <w:pStyle w:val="ConsPlusNormal0"/>
            </w:pPr>
          </w:p>
        </w:tc>
        <w:tc>
          <w:tcPr>
            <w:tcW w:w="2721" w:type="dxa"/>
          </w:tcPr>
          <w:p>
            <w:pPr>
              <w:pStyle w:val="ConsPlusNormal0"/>
            </w:pPr>
            <w:r>
              <w:t xml:space="preserve">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07" w:type="dxa"/>
          </w:tcPr>
          <w:p>
            <w:pPr>
              <w:pStyle w:val="ConsPlusNormal0"/>
            </w:pPr>
            <w:r>
              <w:t xml:space="preserve">0,5</w:t>
            </w:r>
          </w:p>
        </w:tc>
        <w:tc>
          <w:tcPr>
            <w:tcW w:w="1701" w:type="dxa"/>
          </w:tcPr>
          <w:p>
            <w:pPr>
              <w:pStyle w:val="ConsPlusNormal0"/>
            </w:pPr>
            <w:r>
              <w:t xml:space="preserve">К</w:t>
            </w:r>
            <w:r>
              <w:rPr>
                <w:vertAlign w:val="subscript"/>
              </w:rPr>
              <w:t xml:space="preserve">отв</w:t>
            </w:r>
            <w:r>
              <w:rPr>
                <w:vertAlign w:val="subscript"/>
              </w:rPr>
              <w:t xml:space="preserve"> ОПО</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1.1.8</w:t>
            </w:r>
          </w:p>
        </w:tc>
        <w:tc>
          <w:tcPr>
            <w:tcW w:w="3515" w:type="dxa"/>
            <w:vMerge w:val="restart"/>
            <w:tcBorders>
              <w:top w:val="none"/>
            </w:tcBorders>
          </w:tcPr>
          <w:p>
            <w:pPr>
              <w:pStyle w:val="ConsPlusNormal0"/>
            </w:pPr>
          </w:p>
        </w:tc>
        <w:tc>
          <w:tcPr>
            <w:tcW w:w="3685" w:type="dxa"/>
          </w:tcPr>
          <w:p>
            <w:pPr>
              <w:pStyle w:val="ConsPlusNormal0"/>
            </w:pPr>
            <w: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51" w:tooltip="Приказ Минтруда России от 17.12.2020 N 924н (ред. от 29.04.2025) &quot;Об утверждении Правил по охране труда при эксплуатации объектов теплоснабжения и теплопотребляющих установок&quot; (Зарегистрировано в Минюсте России 29.12.2020 N 61926) {КонсультантПлюс}">
              <w:r>
                <w:rPr>
                  <w:color w:val="0000ff"/>
                </w:rPr>
                <w:t xml:space="preserve">Правил</w:t>
              </w:r>
            </w:hyperlink>
            <w:r>
              <w:t xml:space="preserve"> по охране труда при эксплуатации объектов теплоснабжения и </w:t>
            </w:r>
            <w:r>
              <w:t xml:space="preserve">теплопотребляющих</w:t>
            </w:r>
            <w:r>
              <w:t xml:space="preserve"> установок, утвержденных приказом Минтруда России от 17 декабря 2020 г. N 924н </w:t>
            </w:r>
            <w:hyperlink w:tooltip="&lt;4&gt; Зарегистрирован Минюстом России 29 декабря 2020 г., регистрационный N 61926. В соответствии с пунктом 3 приказа Минтруда России от 17 декабря 2020 г. N 924н данный акт действует до 31 декабря 2025 г." w:anchor="P998">
              <w:r>
                <w:rPr>
                  <w:color w:val="0000ff"/>
                </w:rPr>
                <w:t xml:space="preserve">&lt;4&gt;</w:t>
              </w:r>
            </w:hyperlink>
            <w:r>
              <w:t xml:space="preserve"> (</w:t>
            </w:r>
            <w:hyperlink w:tooltip="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 w:anchor="P119">
              <w:r>
                <w:rPr>
                  <w:color w:val="0000ff"/>
                </w:rPr>
                <w:t xml:space="preserve">подпункт 9.3.9 пункта 9</w:t>
              </w:r>
            </w:hyperlink>
            <w:r>
              <w:t xml:space="preserve"> Правил)</w:t>
            </w:r>
          </w:p>
        </w:tc>
        <w:tc>
          <w:tcPr>
            <w:tcW w:w="2721" w:type="dxa"/>
          </w:tcPr>
          <w:p>
            <w:pPr>
              <w:pStyle w:val="ConsPlusNormal0"/>
            </w:pPr>
            <w:r>
              <w:t xml:space="preserve">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907" w:type="dxa"/>
          </w:tcPr>
          <w:p>
            <w:pPr>
              <w:pStyle w:val="ConsPlusNormal0"/>
            </w:pPr>
            <w:r>
              <w:t xml:space="preserve">0,15</w:t>
            </w:r>
          </w:p>
        </w:tc>
        <w:tc>
          <w:tcPr>
            <w:tcW w:w="1701" w:type="dxa"/>
          </w:tcPr>
          <w:p>
            <w:pPr>
              <w:pStyle w:val="ConsPlusNormal0"/>
            </w:pPr>
            <w:r>
              <w:t xml:space="preserve">К</w:t>
            </w:r>
            <w:r>
              <w:rPr>
                <w:vertAlign w:val="subscript"/>
              </w:rPr>
              <w:t xml:space="preserve">охр</w:t>
            </w:r>
            <w:r>
              <w:rPr>
                <w:vertAlign w:val="subscript"/>
              </w:rPr>
              <w:t xml:space="preserve">.т</w:t>
            </w:r>
            <w:r>
              <w:rPr>
                <w:vertAlign w:val="subscript"/>
              </w:rPr>
              <w:t xml:space="preserve">руда</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1.1.9</w:t>
            </w:r>
          </w:p>
        </w:tc>
        <w:tc>
          <w:tcPr>
            <w:tcW w:w="0" w:type="auto"/>
            <w:vMerge w:val="continue"/>
            <w:tcBorders>
              <w:top w:val="none"/>
            </w:tcBorders>
          </w:tcPr>
          <w:p>
            <w:pPr>
              <w:pStyle w:val="ConsPlusNormal0"/>
            </w:pPr>
          </w:p>
        </w:tc>
        <w:tc>
          <w:tcPr>
            <w:tcW w:w="3685" w:type="dxa"/>
          </w:tcPr>
          <w:p>
            <w:pPr>
              <w:pStyle w:val="ConsPlusNormal0"/>
            </w:pPr>
            <w:r>
              <w:t xml:space="preserve">Копии утвержденных в соответствии с </w:t>
            </w:r>
            <w:hyperlink r:id="rId5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пунктами 95</w:t>
              </w:r>
            </w:hyperlink>
            <w:r>
              <w:t xml:space="preserve">, </w:t>
            </w:r>
            <w:hyperlink r:id="rId5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97</w:t>
              </w:r>
            </w:hyperlink>
            <w:r>
              <w:t xml:space="preserve"> Правил N 511 и с </w:t>
            </w:r>
            <w:hyperlink r:id="rId5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пунктом 236</w:t>
              </w:r>
            </w:hyperlink>
            <w: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w:t>
            </w:r>
            <w:r>
              <w:t xml:space="preserve">программе противоаварийных тренировок (</w:t>
            </w:r>
            <w:hyperlink w:tooltip="9.3.10. Копии утвержденных в соответствии с пунктами 95, 97 Правил N 511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 w:anchor="P123">
              <w:r>
                <w:rPr>
                  <w:color w:val="0000ff"/>
                </w:rPr>
                <w:t xml:space="preserve">подпункт 9.3.10 пункта 9</w:t>
              </w:r>
            </w:hyperlink>
            <w:r>
              <w:t xml:space="preserve"> Правил)</w:t>
            </w:r>
          </w:p>
        </w:tc>
        <w:tc>
          <w:tcPr>
            <w:tcW w:w="2721" w:type="dxa"/>
          </w:tcPr>
          <w:p>
            <w:pPr>
              <w:pStyle w:val="ConsPlusNormal0"/>
            </w:pPr>
            <w:r>
              <w:t xml:space="preserve">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w:t>
            </w:r>
            <w:r>
              <w:t xml:space="preserve">тренировок</w:t>
            </w:r>
          </w:p>
        </w:tc>
        <w:tc>
          <w:tcPr>
            <w:tcW w:w="907" w:type="dxa"/>
          </w:tcPr>
          <w:p>
            <w:pPr>
              <w:pStyle w:val="ConsPlusNormal0"/>
            </w:pPr>
            <w:r>
              <w:t xml:space="preserve">0,15</w:t>
            </w:r>
          </w:p>
        </w:tc>
        <w:tc>
          <w:tcPr>
            <w:tcW w:w="1701" w:type="dxa"/>
          </w:tcPr>
          <w:p>
            <w:pPr>
              <w:pStyle w:val="ConsPlusNormal0"/>
            </w:pPr>
            <w:r>
              <w:t xml:space="preserve">К</w:t>
            </w:r>
            <w:r>
              <w:rPr>
                <w:vertAlign w:val="subscript"/>
              </w:rPr>
              <w:t xml:space="preserve">трен</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1.2</w:t>
            </w:r>
          </w:p>
        </w:tc>
        <w:tc>
          <w:tcPr>
            <w:tcW w:w="3515" w:type="dxa"/>
            <w:vMerge w:val="restart"/>
          </w:tcPr>
          <w:p>
            <w:pPr>
              <w:pStyle w:val="ConsPlusNormal0"/>
            </w:pPr>
            <w:r>
              <w:t xml:space="preserve">Проводить наладку принадлежащих им тепловых сетей (</w:t>
            </w:r>
            <w:hyperlink r:id="rId55" w:tooltip="Федеральный закон от 27.07.2010 N 190-ФЗ (ред. от 23.03.2026) &quot;О теплоснабжении&quot; {КонсультантПлюс}">
              <w:r>
                <w:rPr>
                  <w:color w:val="0000ff"/>
                </w:rPr>
                <w:t xml:space="preserve">пункт 2 части 4 статьи 20</w:t>
              </w:r>
            </w:hyperlink>
            <w:r>
              <w:t xml:space="preserve"> Федерального закона о теплоснабжении) и осуществлять </w:t>
            </w:r>
            <w:r>
              <w:t xml:space="preserve">контроль за</w:t>
            </w:r>
            <w:r>
              <w:t xml:space="preserve"> режимами потребления тепловой энергии (</w:t>
            </w:r>
            <w:hyperlink r:id="rId56" w:tooltip="Федеральный закон от 27.07.2010 N 190-ФЗ (ред. от 23.03.2026) &quot;О теплоснабжении&quot; {КонсультантПлюс}">
              <w:r>
                <w:rPr>
                  <w:color w:val="0000ff"/>
                </w:rPr>
                <w:t xml:space="preserve">пункт 3 части 4 статьи 20</w:t>
              </w:r>
            </w:hyperlink>
            <w:r>
              <w:t xml:space="preserve"> Федерального закона о теплоснабжении)</w:t>
            </w:r>
          </w:p>
        </w:tc>
        <w:tc>
          <w:tcPr>
            <w:tcW w:w="3685" w:type="dxa"/>
          </w:tcPr>
          <w:p>
            <w:pPr>
              <w:pStyle w:val="ConsPlusNormal0"/>
            </w:pPr>
            <w:r>
              <w:t xml:space="preserve">Документы, предусмотренные </w:t>
            </w:r>
            <w:hyperlink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абзацами первым - третьим пункта 125 Правил N 511, а также копии эксплуатационных инструкций по в" w:anchor="P125">
              <w:r>
                <w:rPr>
                  <w:color w:val="0000ff"/>
                </w:rPr>
                <w:t xml:space="preserve">подпунктами 9.3.11</w:t>
              </w:r>
            </w:hyperlink>
            <w:r>
              <w:t xml:space="preserve"> и </w:t>
            </w:r>
            <w:hyperlink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32, 249, 250, абзацами первым и вторым пункта 251, пунктами 294, 295 и 447 Правил N 511." w:anchor="P148">
              <w:r>
                <w:rPr>
                  <w:color w:val="0000ff"/>
                </w:rPr>
                <w:t xml:space="preserve">9.3.22 пункта 9</w:t>
              </w:r>
            </w:hyperlink>
            <w:r>
              <w:t xml:space="preserve"> Правил</w:t>
            </w:r>
          </w:p>
        </w:tc>
        <w:tc>
          <w:tcPr>
            <w:tcW w:w="2721" w:type="dxa"/>
          </w:tcPr>
          <w:p>
            <w:pPr>
              <w:pStyle w:val="ConsPlusNormal0"/>
            </w:pPr>
            <w:r>
              <w:t xml:space="preserve">Показатель проведения наладки тепловых сетей и </w:t>
            </w:r>
            <w:r>
              <w:t xml:space="preserve">контроля за</w:t>
            </w:r>
            <w:r>
              <w:t xml:space="preserve"> режимами потребления тепловой энергии</w:t>
            </w:r>
          </w:p>
        </w:tc>
        <w:tc>
          <w:tcPr>
            <w:tcW w:w="907" w:type="dxa"/>
          </w:tcPr>
          <w:p>
            <w:pPr>
              <w:pStyle w:val="ConsPlusNormal0"/>
            </w:pPr>
            <w:r>
              <w:t xml:space="preserve">0,01</w:t>
            </w:r>
          </w:p>
        </w:tc>
        <w:tc>
          <w:tcPr>
            <w:tcW w:w="1701" w:type="dxa"/>
          </w:tcPr>
          <w:p>
            <w:pPr>
              <w:pStyle w:val="ConsPlusNormal0"/>
            </w:pPr>
            <w:r>
              <w:t xml:space="preserve">К</w:t>
            </w:r>
            <w:r>
              <w:rPr>
                <w:vertAlign w:val="subscript"/>
              </w:rPr>
              <w:t xml:space="preserve">режим</w:t>
            </w:r>
            <w:r>
              <w:rPr>
                <w:vertAlign w:val="subscript"/>
              </w:rPr>
              <w:t xml:space="preserve">.н</w:t>
            </w:r>
            <w:r>
              <w:rPr>
                <w:vertAlign w:val="subscript"/>
              </w:rPr>
              <w:t xml:space="preserve">алад</w:t>
            </w:r>
          </w:p>
        </w:tc>
        <w:tc>
          <w:tcPr>
            <w:tcW w:w="2800" w:type="dxa"/>
          </w:tcPr>
          <w:p>
            <w:pPr>
              <w:pStyle w:val="ConsPlusNormal0"/>
            </w:pPr>
            <w:r>
              <w:t xml:space="preserve">К</w:t>
            </w:r>
            <w:r>
              <w:rPr>
                <w:vertAlign w:val="subscript"/>
              </w:rPr>
              <w:t xml:space="preserve">режим</w:t>
            </w:r>
            <w:r>
              <w:rPr>
                <w:vertAlign w:val="subscript"/>
              </w:rPr>
              <w:t xml:space="preserve">.н</w:t>
            </w:r>
            <w:r>
              <w:rPr>
                <w:vertAlign w:val="subscript"/>
              </w:rPr>
              <w:t xml:space="preserve">алад</w:t>
            </w:r>
            <w:r>
              <w:t xml:space="preserve"> =</w:t>
            </w:r>
          </w:p>
          <w:p>
            <w:pPr>
              <w:pStyle w:val="ConsPlusNormal0"/>
            </w:pPr>
            <w:r>
              <w:t xml:space="preserve">К</w:t>
            </w:r>
            <w:r>
              <w:rPr>
                <w:vertAlign w:val="subscript"/>
              </w:rPr>
              <w:t xml:space="preserve">темп</w:t>
            </w:r>
            <w:r>
              <w:rPr>
                <w:vertAlign w:val="subscript"/>
              </w:rPr>
              <w:t xml:space="preserve">.г</w:t>
            </w:r>
            <w:r>
              <w:rPr>
                <w:vertAlign w:val="subscript"/>
              </w:rPr>
              <w:t xml:space="preserve">раф</w:t>
            </w:r>
            <w:r>
              <w:t xml:space="preserve"> * 0,5 +</w:t>
            </w:r>
          </w:p>
          <w:p>
            <w:pPr>
              <w:pStyle w:val="ConsPlusNormal0"/>
            </w:pPr>
            <w:r>
              <w:t xml:space="preserve">К</w:t>
            </w:r>
            <w:r>
              <w:rPr>
                <w:vertAlign w:val="subscript"/>
              </w:rPr>
              <w:t xml:space="preserve">режим</w:t>
            </w:r>
            <w:r>
              <w:rPr>
                <w:vertAlign w:val="subscript"/>
              </w:rPr>
              <w:t xml:space="preserve">.к</w:t>
            </w:r>
            <w:r>
              <w:rPr>
                <w:vertAlign w:val="subscript"/>
              </w:rPr>
              <w:t xml:space="preserve">арт</w:t>
            </w:r>
            <w:r>
              <w:t xml:space="preserve"> * 0,5</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1.2.1</w:t>
            </w:r>
          </w:p>
        </w:tc>
        <w:tc>
          <w:tcPr>
            <w:tcW w:w="0" w:type="auto"/>
            <w:vMerge w:val="continue"/>
          </w:tcPr>
          <w:p>
            <w:pPr>
              <w:pStyle w:val="ConsPlusNormal0"/>
            </w:pPr>
          </w:p>
        </w:tc>
        <w:tc>
          <w:tcPr>
            <w:tcW w:w="3685" w:type="dxa"/>
          </w:tcPr>
          <w:p>
            <w:pPr>
              <w:pStyle w:val="ConsPlusNormal0"/>
            </w:pPr>
            <w:r>
              <w:t xml:space="preserve">Разработанные и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5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абзацами первым</w:t>
              </w:r>
            </w:hyperlink>
            <w:r>
              <w:t xml:space="preserve"> - </w:t>
            </w:r>
            <w:hyperlink r:id="rId5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третьим пункта 125</w:t>
              </w:r>
            </w:hyperlink>
            <w:r>
              <w:t xml:space="preserve"> Правил N 511, а также копии эксплуатационных инструкций по ведению и контролю режимов работы системы теплоснабжения (</w:t>
            </w:r>
            <w:hyperlink w:tooltip="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абзацами первым - третьим пункта 125 Правил N 511, а также копии эксплуатационных инструкций по в" w:anchor="P125">
              <w:r>
                <w:rPr>
                  <w:color w:val="0000ff"/>
                </w:rPr>
                <w:t xml:space="preserve">подпункт 9.3.11 пункта 9</w:t>
              </w:r>
            </w:hyperlink>
            <w:r>
              <w:t xml:space="preserve"> Правил)</w:t>
            </w:r>
          </w:p>
        </w:tc>
        <w:tc>
          <w:tcPr>
            <w:tcW w:w="2721" w:type="dxa"/>
          </w:tcPr>
          <w:p>
            <w:pPr>
              <w:pStyle w:val="ConsPlusNormal0"/>
            </w:pPr>
            <w:r>
              <w:t xml:space="preserve">Показатель наличия температурных графиков, гидравлических режимов работы системы теплоснабжения</w:t>
            </w:r>
          </w:p>
        </w:tc>
        <w:tc>
          <w:tcPr>
            <w:tcW w:w="907" w:type="dxa"/>
          </w:tcPr>
          <w:p>
            <w:pPr>
              <w:pStyle w:val="ConsPlusNormal0"/>
            </w:pPr>
            <w:r>
              <w:t xml:space="preserve">0,5</w:t>
            </w:r>
          </w:p>
        </w:tc>
        <w:tc>
          <w:tcPr>
            <w:tcW w:w="1701" w:type="dxa"/>
          </w:tcPr>
          <w:p>
            <w:pPr>
              <w:pStyle w:val="ConsPlusNormal0"/>
            </w:pPr>
            <w:r>
              <w:t xml:space="preserve">К</w:t>
            </w:r>
            <w:r>
              <w:rPr>
                <w:vertAlign w:val="subscript"/>
              </w:rPr>
              <w:t xml:space="preserve">темп</w:t>
            </w:r>
            <w:r>
              <w:rPr>
                <w:vertAlign w:val="subscript"/>
              </w:rPr>
              <w:t xml:space="preserve">.г</w:t>
            </w:r>
            <w:r>
              <w:rPr>
                <w:vertAlign w:val="subscript"/>
              </w:rPr>
              <w:t xml:space="preserve">раф</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1.2.2</w:t>
            </w:r>
          </w:p>
        </w:tc>
        <w:tc>
          <w:tcPr>
            <w:tcW w:w="0" w:type="auto"/>
            <w:vMerge w:val="continue"/>
          </w:tcPr>
          <w:p>
            <w:pPr>
              <w:pStyle w:val="ConsPlusNormal0"/>
            </w:pPr>
          </w:p>
        </w:tc>
        <w:tc>
          <w:tcPr>
            <w:tcW w:w="3685" w:type="dxa"/>
          </w:tcPr>
          <w:p>
            <w:pPr>
              <w:pStyle w:val="ConsPlusNormal0"/>
            </w:pPr>
            <w: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5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пунктами 32</w:t>
              </w:r>
            </w:hyperlink>
            <w:r>
              <w:t xml:space="preserve">, </w:t>
            </w:r>
            <w:hyperlink r:id="rId6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249</w:t>
              </w:r>
            </w:hyperlink>
            <w:r>
              <w:t xml:space="preserve">, </w:t>
            </w:r>
            <w:hyperlink r:id="rId6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250</w:t>
              </w:r>
            </w:hyperlink>
            <w:r>
              <w:t xml:space="preserve">, </w:t>
            </w:r>
            <w:hyperlink r:id="rId6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абзацами первым</w:t>
              </w:r>
            </w:hyperlink>
            <w:r>
              <w:t xml:space="preserve"> и</w:t>
            </w:r>
            <w:r>
              <w:t xml:space="preserve"> </w:t>
            </w:r>
            <w:hyperlink r:id="rId6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вторым пункта 251</w:t>
              </w:r>
            </w:hyperlink>
            <w:r>
              <w:t xml:space="preserve">, </w:t>
            </w:r>
            <w:hyperlink r:id="rId6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пунктами 294</w:t>
              </w:r>
            </w:hyperlink>
            <w:r>
              <w:t xml:space="preserve">, </w:t>
            </w:r>
            <w:hyperlink r:id="rId6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295</w:t>
              </w:r>
            </w:hyperlink>
            <w:r>
              <w:t xml:space="preserve"> и </w:t>
            </w:r>
            <w:hyperlink r:id="rId6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447</w:t>
              </w:r>
            </w:hyperlink>
            <w:r>
              <w:t xml:space="preserve"> Правил N 511 (</w:t>
            </w:r>
            <w:hyperlink w:tooltip="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32, 249, 250, абзацами первым и вторым пункта 251, пунктами 294, 295 и 447 Правил N 511." w:anchor="P148">
              <w:r>
                <w:rPr>
                  <w:color w:val="0000ff"/>
                </w:rPr>
                <w:t xml:space="preserve">пункт 9.3.22 пункта 9</w:t>
              </w:r>
            </w:hyperlink>
            <w:r>
              <w:t xml:space="preserve"> Правил)</w:t>
            </w:r>
          </w:p>
        </w:tc>
        <w:tc>
          <w:tcPr>
            <w:tcW w:w="2721" w:type="dxa"/>
          </w:tcPr>
          <w:p>
            <w:pPr>
              <w:pStyle w:val="ConsPlusNormal0"/>
            </w:pPr>
            <w:r>
              <w:t xml:space="preserve">Показатель наличия технических отчетов о проведении режимно-наладочных испытаний объектов теплоснабжения, утвержденных режимных карт</w:t>
            </w:r>
          </w:p>
        </w:tc>
        <w:tc>
          <w:tcPr>
            <w:tcW w:w="907" w:type="dxa"/>
          </w:tcPr>
          <w:p>
            <w:pPr>
              <w:pStyle w:val="ConsPlusNormal0"/>
            </w:pPr>
            <w:r>
              <w:t xml:space="preserve">0,5</w:t>
            </w:r>
          </w:p>
        </w:tc>
        <w:tc>
          <w:tcPr>
            <w:tcW w:w="1701" w:type="dxa"/>
          </w:tcPr>
          <w:p>
            <w:pPr>
              <w:pStyle w:val="ConsPlusNormal0"/>
            </w:pPr>
            <w:r>
              <w:t xml:space="preserve">К</w:t>
            </w:r>
            <w:r>
              <w:rPr>
                <w:vertAlign w:val="subscript"/>
              </w:rPr>
              <w:t xml:space="preserve">режим</w:t>
            </w:r>
            <w:r>
              <w:rPr>
                <w:vertAlign w:val="subscript"/>
              </w:rPr>
              <w:t xml:space="preserve">.к</w:t>
            </w:r>
            <w:r>
              <w:rPr>
                <w:vertAlign w:val="subscript"/>
              </w:rPr>
              <w:t xml:space="preserve">арт</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1.3</w:t>
            </w:r>
          </w:p>
        </w:tc>
        <w:tc>
          <w:tcPr>
            <w:tcW w:w="3515" w:type="dxa"/>
          </w:tcPr>
          <w:p>
            <w:pPr>
              <w:pStyle w:val="ConsPlusNormal0"/>
            </w:pPr>
            <w:r>
              <w:t xml:space="preserve">Обеспечивать качество теплоносителей (</w:t>
            </w:r>
            <w:hyperlink r:id="rId67" w:tooltip="Федеральный закон от 27.07.2010 N 190-ФЗ (ред. от 23.03.2026) &quot;О теплоснабжении&quot; {КонсультантПлюс}">
              <w:r>
                <w:rPr>
                  <w:color w:val="0000ff"/>
                </w:rPr>
                <w:t xml:space="preserve">пункт 4 части 4 статьи 20</w:t>
              </w:r>
            </w:hyperlink>
            <w:r>
              <w:t xml:space="preserve"> Федерального закона о теплоснабжении)</w:t>
            </w:r>
          </w:p>
        </w:tc>
        <w:tc>
          <w:tcPr>
            <w:tcW w:w="3685" w:type="dxa"/>
          </w:tcPr>
          <w:p>
            <w:pPr>
              <w:pStyle w:val="ConsPlusNormal0"/>
            </w:pPr>
            <w:r>
              <w:t xml:space="preserve">Копии утвержденной инструкции по эксплуатации установок для </w:t>
            </w:r>
            <w:r>
              <w:t xml:space="preserve">докотловой</w:t>
            </w:r>
            <w: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r>
              <w:t xml:space="preserve">химконтроля</w:t>
            </w:r>
            <w:r>
              <w:t xml:space="preserve"> за водно-химическим режимом котельных и тепловых сетей, разработанный в соответствии с </w:t>
            </w:r>
            <w:r>
              <w:t xml:space="preserve">требованиями </w:t>
            </w:r>
            <w:hyperlink r:id="rId6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276</w:t>
              </w:r>
            </w:hyperlink>
            <w:r>
              <w:t xml:space="preserve">, </w:t>
            </w:r>
            <w:hyperlink r:id="rId6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279</w:t>
              </w:r>
            </w:hyperlink>
            <w:r>
              <w:t xml:space="preserve"> Правил N 511, </w:t>
            </w:r>
            <w:hyperlink r:id="rId70"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пункта 278</w:t>
              </w:r>
            </w:hyperlink>
            <w:r>
              <w:t xml:space="preserve"> Правил промышленной безопасности</w:t>
            </w:r>
          </w:p>
          <w:p>
            <w:pPr>
              <w:pStyle w:val="ConsPlusNormal0"/>
            </w:pPr>
            <w:r>
              <w:t xml:space="preserve">(</w:t>
            </w:r>
            <w:hyperlink w:tooltip="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 w:anchor="P127">
              <w:r>
                <w:rPr>
                  <w:color w:val="0000ff"/>
                </w:rPr>
                <w:t xml:space="preserve">подпункт 9.3.12 пункта 9</w:t>
              </w:r>
            </w:hyperlink>
            <w:r>
              <w:t xml:space="preserve"> Правил)</w:t>
            </w:r>
          </w:p>
        </w:tc>
        <w:tc>
          <w:tcPr>
            <w:tcW w:w="2721" w:type="dxa"/>
          </w:tcPr>
          <w:p>
            <w:pPr>
              <w:pStyle w:val="ConsPlusNormal0"/>
            </w:pPr>
            <w:r>
              <w:t xml:space="preserve">Показатель обеспечения качества теплоносителей</w:t>
            </w:r>
          </w:p>
        </w:tc>
        <w:tc>
          <w:tcPr>
            <w:tcW w:w="907" w:type="dxa"/>
          </w:tcPr>
          <w:p>
            <w:pPr>
              <w:pStyle w:val="ConsPlusNormal0"/>
            </w:pPr>
            <w:r>
              <w:t xml:space="preserve">0,04</w:t>
            </w:r>
          </w:p>
        </w:tc>
        <w:tc>
          <w:tcPr>
            <w:tcW w:w="1701" w:type="dxa"/>
          </w:tcPr>
          <w:p>
            <w:pPr>
              <w:pStyle w:val="ConsPlusNormal0"/>
            </w:pPr>
            <w:r>
              <w:t xml:space="preserve">К</w:t>
            </w:r>
            <w:r>
              <w:rPr>
                <w:vertAlign w:val="subscript"/>
              </w:rPr>
              <w:t xml:space="preserve">качест</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1.4</w:t>
            </w:r>
          </w:p>
        </w:tc>
        <w:tc>
          <w:tcPr>
            <w:tcW w:w="3515" w:type="dxa"/>
          </w:tcPr>
          <w:p>
            <w:pPr>
              <w:pStyle w:val="ConsPlusNormal0"/>
            </w:pPr>
            <w:r>
              <w:t xml:space="preserve">Обеспечивать проверку качества строительства, реконструкции и (или) модернизации принадлежащих теплоснабжающим, </w:t>
            </w:r>
            <w:r>
              <w:t xml:space="preserve">теплосетевым</w:t>
            </w:r>
            <w:r>
              <w:t xml:space="preserve"> организациям тепловых сетей, в том числе качества тепловой изоляции (</w:t>
            </w:r>
            <w:hyperlink r:id="rId71" w:tooltip="Федеральный закон от 27.07.2010 N 190-ФЗ (ред. от 23.03.2026) &quot;О теплоснабжении&quot; {КонсультантПлюс}">
              <w:r>
                <w:rPr>
                  <w:color w:val="0000ff"/>
                </w:rPr>
                <w:t xml:space="preserve">пункт 6 части 4 статьи 20</w:t>
              </w:r>
            </w:hyperlink>
            <w:r>
              <w:t xml:space="preserve"> Федерального закона о теплоснабжении)</w:t>
            </w:r>
          </w:p>
        </w:tc>
        <w:tc>
          <w:tcPr>
            <w:tcW w:w="3685" w:type="dxa"/>
          </w:tcPr>
          <w:p>
            <w:pPr>
              <w:pStyle w:val="ConsPlusNormal0"/>
            </w:pPr>
            <w:r>
              <w:t xml:space="preserve">Разработанный в соответствии с </w:t>
            </w:r>
            <w:hyperlink r:id="rId7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подпунктом 5 пункта 6</w:t>
              </w:r>
            </w:hyperlink>
            <w:r>
              <w:t xml:space="preserve">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r>
              <w:t xml:space="preserve">теплопотребляющих</w:t>
            </w:r>
            <w:r>
              <w:t xml:space="preserve"> установок из ремонта с приложением дефектных ведомостей (при наличии), протоколов испытаний и наладки, предусмотренные</w:t>
            </w:r>
            <w:r>
              <w:t xml:space="preserve"> </w:t>
            </w:r>
            <w:hyperlink r:id="rId7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пунктом 15</w:t>
              </w:r>
            </w:hyperlink>
            <w:r>
              <w:t xml:space="preserve"> Правил N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 (</w:t>
            </w:r>
            <w:hyperlink w:tooltip="9.3.14. Разработанный в соответствии с подпунктом 5 пункта 6 Правил N 511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 w:anchor="P130">
              <w:r>
                <w:rPr>
                  <w:color w:val="0000ff"/>
                </w:rPr>
                <w:t xml:space="preserve">подпункт 9.3.14 пункта 9</w:t>
              </w:r>
            </w:hyperlink>
            <w:r>
              <w:t xml:space="preserve"> Правил)</w:t>
            </w:r>
          </w:p>
        </w:tc>
        <w:tc>
          <w:tcPr>
            <w:tcW w:w="2721" w:type="dxa"/>
          </w:tcPr>
          <w:p>
            <w:pPr>
              <w:pStyle w:val="ConsPlusNormal0"/>
            </w:pPr>
            <w:r>
              <w:t xml:space="preserve">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07" w:type="dxa"/>
          </w:tcPr>
          <w:p>
            <w:pPr>
              <w:pStyle w:val="ConsPlusNormal0"/>
            </w:pPr>
            <w:r>
              <w:t xml:space="preserve">0,3</w:t>
            </w:r>
          </w:p>
        </w:tc>
        <w:tc>
          <w:tcPr>
            <w:tcW w:w="1701" w:type="dxa"/>
          </w:tcPr>
          <w:p>
            <w:pPr>
              <w:pStyle w:val="ConsPlusNormal0"/>
            </w:pPr>
            <w:r>
              <w:t xml:space="preserve">К</w:t>
            </w:r>
            <w:r>
              <w:rPr>
                <w:vertAlign w:val="subscript"/>
              </w:rPr>
              <w:t xml:space="preserve">кач</w:t>
            </w:r>
            <w:r>
              <w:rPr>
                <w:vertAlign w:val="subscript"/>
              </w:rPr>
              <w:t xml:space="preserve">.с</w:t>
            </w:r>
            <w:r>
              <w:rPr>
                <w:vertAlign w:val="subscript"/>
              </w:rPr>
              <w:t xml:space="preserve">троит</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1.5</w:t>
            </w:r>
          </w:p>
        </w:tc>
        <w:tc>
          <w:tcPr>
            <w:tcW w:w="3515" w:type="dxa"/>
            <w:vMerge w:val="restart"/>
            <w:tcBorders>
              <w:bottom w:val="none"/>
            </w:tcBorders>
          </w:tcPr>
          <w:p>
            <w:pPr>
              <w:pStyle w:val="ConsPlusNormal0"/>
            </w:pPr>
            <w:r>
              <w:t xml:space="preserve">Обеспечивать надежное теплоснабжение потребителей (</w:t>
            </w:r>
            <w:hyperlink r:id="rId74" w:tooltip="Федеральный закон от 27.07.2010 N 190-ФЗ (ред. от 23.03.2026) &quot;О теплоснабжении&quot; {КонсультантПлюс}">
              <w:r>
                <w:rPr>
                  <w:color w:val="0000ff"/>
                </w:rPr>
                <w:t xml:space="preserve">пункт 7 части 4 статьи 20</w:t>
              </w:r>
            </w:hyperlink>
            <w:r>
              <w:t xml:space="preserve"> Федерального закона о теплоснабжении)</w:t>
            </w:r>
          </w:p>
        </w:tc>
        <w:tc>
          <w:tcPr>
            <w:tcW w:w="3685" w:type="dxa"/>
          </w:tcPr>
          <w:p>
            <w:pPr>
              <w:pStyle w:val="ConsPlusNormal0"/>
            </w:pPr>
            <w:r>
              <w:t xml:space="preserve">Документы, предусмотренные </w:t>
            </w:r>
            <w:hyperlink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anchor="P132">
              <w:r>
                <w:rPr>
                  <w:color w:val="0000ff"/>
                </w:rPr>
                <w:t xml:space="preserve">подпунктами 9.3.15</w:t>
              </w:r>
            </w:hyperlink>
            <w:r>
              <w:t xml:space="preserve">, </w:t>
            </w:r>
            <w:hyperlink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anchor="P136">
              <w:r>
                <w:rPr>
                  <w:color w:val="0000ff"/>
                </w:rPr>
                <w:t xml:space="preserve">9.3.16</w:t>
              </w:r>
            </w:hyperlink>
            <w:r>
              <w:t xml:space="preserve">, </w:t>
            </w:r>
            <w:hyperlink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anchor="P140">
              <w:r>
                <w:rPr>
                  <w:color w:val="0000ff"/>
                </w:rPr>
                <w:t xml:space="preserve">9.3.18</w:t>
              </w:r>
            </w:hyperlink>
            <w:r>
              <w:t xml:space="preserve"> - </w:t>
            </w:r>
            <w:hyperlink w:tooltip="9.3.24. Акт опробования работоспособности оборудования насосных станций, проведение которого установлено требованиями пункта 388 Правил N 511." w:anchor="P152">
              <w:r>
                <w:rPr>
                  <w:color w:val="0000ff"/>
                </w:rPr>
                <w:t xml:space="preserve">9.3.24</w:t>
              </w:r>
            </w:hyperlink>
            <w:r>
              <w:t xml:space="preserve">, </w:t>
            </w:r>
            <w:hyperlink w:tooltip="9.3.26. Утвержденный в соответствии с требованиями пункта 28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 w:anchor="P158">
              <w:r>
                <w:rPr>
                  <w:color w:val="0000ff"/>
                </w:rPr>
                <w:t xml:space="preserve">9.3.26</w:t>
              </w:r>
            </w:hyperlink>
            <w:r>
              <w:t xml:space="preserve">, </w:t>
            </w:r>
            <w:hyperlink w:tooltip="9.3.27. 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 w:anchor="P163">
              <w:r>
                <w:rPr>
                  <w:color w:val="0000ff"/>
                </w:rPr>
                <w:t xml:space="preserve">9.3.27 пункта 9</w:t>
              </w:r>
            </w:hyperlink>
            <w:r>
              <w:t xml:space="preserve"> Правил</w:t>
            </w:r>
          </w:p>
        </w:tc>
        <w:tc>
          <w:tcPr>
            <w:tcW w:w="2721" w:type="dxa"/>
          </w:tcPr>
          <w:p>
            <w:pPr>
              <w:pStyle w:val="ConsPlusNormal0"/>
            </w:pPr>
            <w:r>
              <w:t xml:space="preserve">Показатель обеспечения надежного теплоснабжения потребителей</w:t>
            </w:r>
          </w:p>
        </w:tc>
        <w:tc>
          <w:tcPr>
            <w:tcW w:w="907" w:type="dxa"/>
          </w:tcPr>
          <w:p>
            <w:pPr>
              <w:pStyle w:val="ConsPlusNormal0"/>
            </w:pPr>
            <w:r>
              <w:t xml:space="preserve">0,6</w:t>
            </w:r>
          </w:p>
        </w:tc>
        <w:tc>
          <w:tcPr>
            <w:tcW w:w="1701" w:type="dxa"/>
          </w:tcPr>
          <w:p>
            <w:pPr>
              <w:pStyle w:val="ConsPlusNormal0"/>
            </w:pPr>
            <w:r>
              <w:t xml:space="preserve">К</w:t>
            </w:r>
            <w:r>
              <w:rPr>
                <w:vertAlign w:val="subscript"/>
              </w:rPr>
              <w:t xml:space="preserve">надеж</w:t>
            </w:r>
            <w:r>
              <w:rPr>
                <w:vertAlign w:val="subscript"/>
              </w:rPr>
              <w:t xml:space="preserve">.</w:t>
            </w:r>
          </w:p>
        </w:tc>
        <w:tc>
          <w:tcPr>
            <w:tcW w:w="2800" w:type="dxa"/>
          </w:tcPr>
          <w:p>
            <w:pPr>
              <w:pStyle w:val="ConsPlusNormal0"/>
            </w:pPr>
            <w:r>
              <w:t xml:space="preserve">К</w:t>
            </w:r>
            <w:r>
              <w:rPr>
                <w:vertAlign w:val="subscript"/>
              </w:rPr>
              <w:t xml:space="preserve">надеж</w:t>
            </w:r>
            <w:r>
              <w:t xml:space="preserve"> =</w:t>
            </w:r>
          </w:p>
          <w:p>
            <w:pPr>
              <w:pStyle w:val="ConsPlusNormal0"/>
            </w:pPr>
            <w:r>
              <w:t xml:space="preserve">К</w:t>
            </w:r>
            <w:r>
              <w:rPr>
                <w:vertAlign w:val="subscript"/>
              </w:rPr>
              <w:t xml:space="preserve">освид</w:t>
            </w:r>
            <w:r>
              <w:t xml:space="preserve"> * 0,01 +</w:t>
            </w:r>
          </w:p>
          <w:p>
            <w:pPr>
              <w:pStyle w:val="ConsPlusNormal0"/>
            </w:pPr>
            <w:r>
              <w:t xml:space="preserve">К</w:t>
            </w:r>
            <w:r>
              <w:rPr>
                <w:vertAlign w:val="subscript"/>
              </w:rPr>
              <w:t xml:space="preserve">обслед</w:t>
            </w:r>
            <w:r>
              <w:t xml:space="preserve"> * 0,05 +</w:t>
            </w:r>
          </w:p>
          <w:p>
            <w:pPr>
              <w:pStyle w:val="ConsPlusNormal0"/>
            </w:pPr>
            <w:r>
              <w:t xml:space="preserve">К</w:t>
            </w:r>
            <w:r>
              <w:rPr>
                <w:vertAlign w:val="subscript"/>
              </w:rPr>
              <w:t xml:space="preserve">испыт</w:t>
            </w:r>
            <w:r>
              <w:t xml:space="preserve"> * 0,05 +</w:t>
            </w:r>
          </w:p>
          <w:p>
            <w:pPr>
              <w:pStyle w:val="ConsPlusNormal0"/>
            </w:pPr>
            <w:r>
              <w:t xml:space="preserve">К</w:t>
            </w:r>
            <w:r>
              <w:rPr>
                <w:vertAlign w:val="subscript"/>
              </w:rPr>
              <w:t xml:space="preserve">гидр</w:t>
            </w:r>
            <w:r>
              <w:t xml:space="preserve"> * 0,4 +</w:t>
            </w:r>
          </w:p>
          <w:p>
            <w:pPr>
              <w:pStyle w:val="ConsPlusNormal0"/>
            </w:pPr>
            <w:r>
              <w:t xml:space="preserve">К</w:t>
            </w:r>
            <w:r>
              <w:rPr>
                <w:vertAlign w:val="subscript"/>
              </w:rPr>
              <w:t xml:space="preserve">шурф</w:t>
            </w:r>
            <w:r>
              <w:t xml:space="preserve"> * 0,02 +</w:t>
            </w:r>
          </w:p>
          <w:p>
            <w:pPr>
              <w:pStyle w:val="ConsPlusNormal0"/>
            </w:pPr>
            <w:r>
              <w:t xml:space="preserve">К</w:t>
            </w:r>
            <w:r>
              <w:rPr>
                <w:vertAlign w:val="subscript"/>
              </w:rPr>
              <w:t xml:space="preserve">очист</w:t>
            </w:r>
            <w:r>
              <w:rPr>
                <w:vertAlign w:val="subscript"/>
              </w:rPr>
              <w:t xml:space="preserve">.п</w:t>
            </w:r>
            <w:r>
              <w:rPr>
                <w:vertAlign w:val="subscript"/>
              </w:rPr>
              <w:t xml:space="preserve">ромыв</w:t>
            </w:r>
            <w:r>
              <w:t xml:space="preserve"> * 0,4 +</w:t>
            </w:r>
          </w:p>
          <w:p>
            <w:pPr>
              <w:pStyle w:val="ConsPlusNormal0"/>
            </w:pPr>
            <w:r>
              <w:t xml:space="preserve">К</w:t>
            </w:r>
            <w:r>
              <w:rPr>
                <w:vertAlign w:val="subscript"/>
              </w:rPr>
              <w:t xml:space="preserve">электр</w:t>
            </w:r>
            <w:r>
              <w:rPr>
                <w:vertAlign w:val="subscript"/>
              </w:rPr>
              <w:t xml:space="preserve">.с</w:t>
            </w:r>
            <w:r>
              <w:rPr>
                <w:vertAlign w:val="subscript"/>
              </w:rPr>
              <w:t xml:space="preserve">опр</w:t>
            </w:r>
            <w:r>
              <w:t xml:space="preserve"> * 0,01 +</w:t>
            </w:r>
          </w:p>
          <w:p>
            <w:pPr>
              <w:pStyle w:val="ConsPlusNormal0"/>
            </w:pPr>
            <w:r>
              <w:t xml:space="preserve">К</w:t>
            </w:r>
            <w:r>
              <w:rPr>
                <w:vertAlign w:val="subscript"/>
              </w:rPr>
              <w:t xml:space="preserve">насос</w:t>
            </w:r>
            <w:r>
              <w:rPr>
                <w:vertAlign w:val="subscript"/>
              </w:rPr>
              <w:t xml:space="preserve"> стан</w:t>
            </w:r>
            <w:r>
              <w:t xml:space="preserve"> * 0,01 +</w:t>
            </w:r>
          </w:p>
          <w:p>
            <w:pPr>
              <w:pStyle w:val="ConsPlusNormal0"/>
            </w:pPr>
            <w:r>
              <w:t xml:space="preserve">К</w:t>
            </w:r>
            <w:r>
              <w:rPr>
                <w:vertAlign w:val="subscript"/>
              </w:rPr>
              <w:t xml:space="preserve">матер</w:t>
            </w:r>
            <w:r>
              <w:t xml:space="preserve"> * 0,04 +</w:t>
            </w:r>
          </w:p>
          <w:p>
            <w:pPr>
              <w:pStyle w:val="ConsPlusNormal0"/>
            </w:pPr>
            <w:r>
              <w:t xml:space="preserve">К</w:t>
            </w:r>
            <w:r>
              <w:rPr>
                <w:vertAlign w:val="subscript"/>
              </w:rPr>
              <w:t xml:space="preserve">страх</w:t>
            </w:r>
            <w:r>
              <w:t xml:space="preserve"> * 0,01</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1.5.1</w:t>
            </w:r>
          </w:p>
        </w:tc>
        <w:tc>
          <w:tcPr>
            <w:tcW w:w="0" w:type="auto"/>
            <w:vMerge w:val="continue"/>
            <w:tcBorders>
              <w:bottom w:val="none"/>
            </w:tcBorders>
          </w:tcPr>
          <w:p>
            <w:pPr>
              <w:pStyle w:val="ConsPlusNormal0"/>
            </w:pPr>
          </w:p>
        </w:tc>
        <w:tc>
          <w:tcPr>
            <w:tcW w:w="3685" w:type="dxa"/>
            <w:vMerge w:val="restart"/>
          </w:tcPr>
          <w:p>
            <w:pPr>
              <w:pStyle w:val="ConsPlusNormal0"/>
            </w:pPr>
            <w:r>
              <w:t xml:space="preserve">Копии паспортов паровых и (или) водогрейных котельных установок, центральных тепловых пунктов и оборудования, </w:t>
            </w:r>
            <w:r>
              <w:t xml:space="preserve">работающего под избыточным давлением, с отметками:</w:t>
            </w:r>
          </w:p>
          <w:p>
            <w:pPr>
              <w:pStyle w:val="ConsPlusNormal0"/>
            </w:pPr>
            <w: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w:t>
            </w:r>
            <w:r>
              <w:t xml:space="preserve">ОПО) в соответствии с </w:t>
            </w:r>
            <w:hyperlink r:id="rId75"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 xml:space="preserve">частью 2 статьи 7</w:t>
              </w:r>
            </w:hyperlink>
            <w:r>
              <w:t xml:space="preserve"> Федерального закона о промышленной безопасности и заключениях о проведении технического диагностирования (для объектов, не являющихся ОПО</w:t>
            </w:r>
            <w:r>
              <w:t xml:space="preserve">) с выводами о продлении срока эксплуатации оборудования в соответствии с </w:t>
            </w:r>
            <w:hyperlink r:id="rId7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пунктом 27</w:t>
              </w:r>
            </w:hyperlink>
            <w:r>
              <w:t xml:space="preserve"> Правил N 511; о проверке плотности (герметичности), настройки и регулировки предохранительных клапанов</w:t>
            </w:r>
          </w:p>
          <w:p>
            <w:pPr>
              <w:pStyle w:val="ConsPlusNormal0"/>
            </w:pPr>
            <w:r>
              <w:t xml:space="preserve">(</w:t>
            </w:r>
            <w:hyperlink w:tooltip="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w:anchor="P132">
              <w:r>
                <w:rPr>
                  <w:color w:val="0000ff"/>
                </w:rPr>
                <w:t xml:space="preserve">подпункт 9.3.15 пункта 9</w:t>
              </w:r>
            </w:hyperlink>
            <w:r>
              <w:t xml:space="preserve"> Правил)</w:t>
            </w:r>
          </w:p>
        </w:tc>
        <w:tc>
          <w:tcPr>
            <w:tcW w:w="2721" w:type="dxa"/>
          </w:tcPr>
          <w:p>
            <w:pPr>
              <w:pStyle w:val="ConsPlusNormal0"/>
            </w:pPr>
            <w:r>
              <w:t xml:space="preserve">Показатель наличия паспортов паровых и (или) водогрейных котельных установок, центральных тепловых пунктов и </w:t>
            </w:r>
            <w:r>
              <w:t xml:space="preserve">оборудования, работающего под избыточным давлением с выводами о продлении срока эксплуатации</w:t>
            </w:r>
          </w:p>
        </w:tc>
        <w:tc>
          <w:tcPr>
            <w:tcW w:w="907" w:type="dxa"/>
          </w:tcPr>
          <w:p>
            <w:pPr>
              <w:pStyle w:val="ConsPlusNormal0"/>
            </w:pPr>
            <w:r>
              <w:t xml:space="preserve">0,01</w:t>
            </w:r>
          </w:p>
        </w:tc>
        <w:tc>
          <w:tcPr>
            <w:tcW w:w="1701" w:type="dxa"/>
          </w:tcPr>
          <w:p>
            <w:pPr>
              <w:pStyle w:val="ConsPlusNormal0"/>
            </w:pPr>
            <w:r>
              <w:t xml:space="preserve">К</w:t>
            </w:r>
            <w:r>
              <w:rPr>
                <w:vertAlign w:val="subscript"/>
              </w:rPr>
              <w:t xml:space="preserve">освид</w:t>
            </w:r>
          </w:p>
        </w:tc>
        <w:tc>
          <w:tcPr>
            <w:tcW w:w="2800" w:type="dxa"/>
          </w:tcPr>
          <w:p>
            <w:pPr>
              <w:pStyle w:val="ConsPlusNormal0"/>
            </w:pPr>
            <w:r>
              <w:t xml:space="preserve">К</w:t>
            </w:r>
            <w:r>
              <w:rPr>
                <w:vertAlign w:val="subscript"/>
              </w:rPr>
              <w:t xml:space="preserve">освид</w:t>
            </w:r>
            <w:r>
              <w:t xml:space="preserve"> =</w:t>
            </w:r>
          </w:p>
          <w:p>
            <w:pPr>
              <w:pStyle w:val="ConsPlusNormal0"/>
            </w:pPr>
            <w:r>
              <w:t xml:space="preserve">К</w:t>
            </w:r>
            <w:r>
              <w:rPr>
                <w:vertAlign w:val="subscript"/>
              </w:rPr>
              <w:t xml:space="preserve">освид</w:t>
            </w:r>
            <w:r>
              <w:rPr>
                <w:vertAlign w:val="subscript"/>
              </w:rPr>
              <w:t xml:space="preserve"> не ОПО</w:t>
            </w:r>
            <w:r>
              <w:t xml:space="preserve"> * 0,5 +</w:t>
            </w:r>
          </w:p>
          <w:p>
            <w:pPr>
              <w:pStyle w:val="ConsPlusNormal0"/>
            </w:pPr>
            <w:r>
              <w:t xml:space="preserve">К</w:t>
            </w:r>
            <w:r>
              <w:rPr>
                <w:vertAlign w:val="subscript"/>
              </w:rPr>
              <w:t xml:space="preserve">освид</w:t>
            </w:r>
            <w:r>
              <w:rPr>
                <w:vertAlign w:val="subscript"/>
              </w:rPr>
              <w:t xml:space="preserve"> ОПО</w:t>
            </w:r>
            <w:r>
              <w:t xml:space="preserve"> * 0,5</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1.5.1.1</w:t>
            </w:r>
          </w:p>
        </w:tc>
        <w:tc>
          <w:tcPr>
            <w:tcW w:w="0" w:type="auto"/>
            <w:vMerge w:val="continue"/>
            <w:tcBorders>
              <w:bottom w:val="none"/>
            </w:tcBorders>
          </w:tcPr>
          <w:p>
            <w:pPr>
              <w:pStyle w:val="ConsPlusNormal0"/>
            </w:pPr>
          </w:p>
        </w:tc>
        <w:tc>
          <w:tcPr>
            <w:tcW w:w="0" w:type="auto"/>
            <w:vMerge w:val="continue"/>
          </w:tcPr>
          <w:p>
            <w:pPr>
              <w:pStyle w:val="ConsPlusNormal0"/>
            </w:pPr>
          </w:p>
        </w:tc>
        <w:tc>
          <w:tcPr>
            <w:tcW w:w="2721" w:type="dxa"/>
          </w:tcPr>
          <w:p>
            <w:pPr>
              <w:pStyle w:val="ConsPlusNormal0"/>
            </w:pPr>
            <w: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p>
        </w:tc>
        <w:tc>
          <w:tcPr>
            <w:tcW w:w="907" w:type="dxa"/>
          </w:tcPr>
          <w:p>
            <w:pPr>
              <w:pStyle w:val="ConsPlusNormal0"/>
            </w:pPr>
            <w:r>
              <w:t xml:space="preserve">0,5</w:t>
            </w:r>
          </w:p>
        </w:tc>
        <w:tc>
          <w:tcPr>
            <w:tcW w:w="1701" w:type="dxa"/>
          </w:tcPr>
          <w:p>
            <w:pPr>
              <w:pStyle w:val="ConsPlusNormal0"/>
            </w:pPr>
            <w:r>
              <w:t xml:space="preserve">К</w:t>
            </w:r>
            <w:r>
              <w:rPr>
                <w:vertAlign w:val="subscript"/>
              </w:rPr>
              <w:t xml:space="preserve">освид</w:t>
            </w:r>
            <w:r>
              <w:rPr>
                <w:vertAlign w:val="subscript"/>
              </w:rPr>
              <w:t xml:space="preserve"> не ОПО</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1.5.1.2</w:t>
            </w:r>
          </w:p>
        </w:tc>
        <w:tc>
          <w:tcPr>
            <w:tcW w:w="0" w:type="auto"/>
            <w:vMerge w:val="continue"/>
            <w:tcBorders>
              <w:bottom w:val="none"/>
            </w:tcBorders>
          </w:tcPr>
          <w:p>
            <w:pPr>
              <w:pStyle w:val="ConsPlusNormal0"/>
            </w:pPr>
          </w:p>
        </w:tc>
        <w:tc>
          <w:tcPr>
            <w:tcW w:w="0" w:type="auto"/>
            <w:vMerge w:val="continue"/>
          </w:tcPr>
          <w:p>
            <w:pPr>
              <w:pStyle w:val="ConsPlusNormal0"/>
            </w:pPr>
          </w:p>
        </w:tc>
        <w:tc>
          <w:tcPr>
            <w:tcW w:w="2721" w:type="dxa"/>
          </w:tcPr>
          <w:p>
            <w:pPr>
              <w:pStyle w:val="ConsPlusNormal0"/>
            </w:pPr>
            <w:r>
              <w:t xml:space="preserve">Показатель наличия отметок в паспорте оборудования </w:t>
            </w:r>
            <w:r>
              <w:t xml:space="preserve">о</w:t>
            </w:r>
            <w:r>
              <w:t xml:space="preserve"> </w:t>
            </w:r>
            <w:r>
              <w:t xml:space="preserve">проведенных</w:t>
            </w:r>
            <w:r>
              <w:t xml:space="preserve"> техническом освидетельствовании, гидравлическом испытании, экспертизы промышленной </w:t>
            </w:r>
            <w:r>
              <w:t xml:space="preserve">безопасности, настройки и регулировки предохранительных клапанов с выводами о продлении срока эксплуатации оборудования</w:t>
            </w:r>
          </w:p>
        </w:tc>
        <w:tc>
          <w:tcPr>
            <w:tcW w:w="907" w:type="dxa"/>
          </w:tcPr>
          <w:p>
            <w:pPr>
              <w:pStyle w:val="ConsPlusNormal0"/>
            </w:pPr>
            <w:r>
              <w:t xml:space="preserve">0,5</w:t>
            </w:r>
          </w:p>
        </w:tc>
        <w:tc>
          <w:tcPr>
            <w:tcW w:w="1701" w:type="dxa"/>
          </w:tcPr>
          <w:p>
            <w:pPr>
              <w:pStyle w:val="ConsPlusNormal0"/>
            </w:pPr>
            <w:r>
              <w:t xml:space="preserve">К</w:t>
            </w:r>
            <w:r>
              <w:rPr>
                <w:vertAlign w:val="subscript"/>
              </w:rPr>
              <w:t xml:space="preserve">освид</w:t>
            </w:r>
            <w:r>
              <w:rPr>
                <w:vertAlign w:val="subscript"/>
              </w:rPr>
              <w:t xml:space="preserve"> ОПО</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1.5.2</w:t>
            </w:r>
          </w:p>
        </w:tc>
        <w:tc>
          <w:tcPr>
            <w:tcW w:w="3515" w:type="dxa"/>
            <w:vMerge w:val="restart"/>
            <w:tcBorders>
              <w:top w:val="none"/>
              <w:bottom w:val="none"/>
            </w:tcBorders>
          </w:tcPr>
          <w:p>
            <w:pPr>
              <w:pStyle w:val="ConsPlusNormal0"/>
            </w:pPr>
          </w:p>
        </w:tc>
        <w:tc>
          <w:tcPr>
            <w:tcW w:w="3685" w:type="dxa"/>
          </w:tcPr>
          <w:p>
            <w:pPr>
              <w:pStyle w:val="ConsPlusNormal0"/>
            </w:pPr>
            <w: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w:t>
            </w:r>
            <w:r>
              <w:t xml:space="preserve">документации эксплуатирующей организации, в которые занесены результаты текущих осмотров в соответствии с </w:t>
            </w:r>
            <w:hyperlink r:id="rId7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пунктом 165</w:t>
              </w:r>
            </w:hyperlink>
            <w:r>
              <w:t xml:space="preserve"> Правил N 511 (</w:t>
            </w:r>
            <w:hyperlink w:tooltip="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anchor="P136">
              <w:r>
                <w:rPr>
                  <w:color w:val="0000ff"/>
                </w:rPr>
                <w:t xml:space="preserve">подпункт 9.3.16 пункта 9</w:t>
              </w:r>
            </w:hyperlink>
            <w:r>
              <w:t xml:space="preserve"> Правил)</w:t>
            </w:r>
          </w:p>
        </w:tc>
        <w:tc>
          <w:tcPr>
            <w:tcW w:w="2721" w:type="dxa"/>
          </w:tcPr>
          <w:p>
            <w:pPr>
              <w:pStyle w:val="ConsPlusNormal0"/>
            </w:pPr>
            <w:r>
              <w:t xml:space="preserve">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w:t>
            </w:r>
            <w:r>
              <w:t xml:space="preserve">перечнем документации эксплуатирующей организации, в которые занесены результаты текущих осмотров</w:t>
            </w:r>
          </w:p>
        </w:tc>
        <w:tc>
          <w:tcPr>
            <w:tcW w:w="907" w:type="dxa"/>
          </w:tcPr>
          <w:p>
            <w:pPr>
              <w:pStyle w:val="ConsPlusNormal0"/>
            </w:pPr>
            <w:r>
              <w:t xml:space="preserve">0,05</w:t>
            </w:r>
          </w:p>
        </w:tc>
        <w:tc>
          <w:tcPr>
            <w:tcW w:w="1701" w:type="dxa"/>
          </w:tcPr>
          <w:p>
            <w:pPr>
              <w:pStyle w:val="ConsPlusNormal0"/>
            </w:pPr>
            <w:r>
              <w:t xml:space="preserve">К</w:t>
            </w:r>
            <w:r>
              <w:rPr>
                <w:vertAlign w:val="subscript"/>
              </w:rPr>
              <w:t xml:space="preserve">обслед</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vMerge w:val="restart"/>
          </w:tcPr>
          <w:p>
            <w:pPr>
              <w:pStyle w:val="ConsPlusNormal0"/>
            </w:pPr>
            <w:r>
              <w:t xml:space="preserve">1.5.3</w:t>
            </w:r>
          </w:p>
        </w:tc>
        <w:tc>
          <w:tcPr>
            <w:tcW w:w="0" w:type="auto"/>
            <w:vMerge w:val="continue"/>
            <w:tcBorders>
              <w:top w:val="none"/>
              <w:bottom w:val="none"/>
            </w:tcBorders>
          </w:tcPr>
          <w:p>
            <w:pPr>
              <w:pStyle w:val="ConsPlusNormal0"/>
            </w:pPr>
          </w:p>
        </w:tc>
        <w:tc>
          <w:tcPr>
            <w:tcW w:w="3685" w:type="dxa"/>
            <w:vMerge w:val="restart"/>
          </w:tcPr>
          <w:p>
            <w:pPr>
              <w:pStyle w:val="ConsPlusNormal0"/>
            </w:pPr>
            <w: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7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пунктами 352</w:t>
              </w:r>
            </w:hyperlink>
            <w:r>
              <w:t xml:space="preserve">, </w:t>
            </w:r>
            <w:hyperlink r:id="rId7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355</w:t>
              </w:r>
            </w:hyperlink>
            <w:r>
              <w:t xml:space="preserve">, </w:t>
            </w:r>
            <w:hyperlink r:id="rId8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356</w:t>
              </w:r>
            </w:hyperlink>
            <w:r>
              <w:t xml:space="preserve"> Правил N 511</w:t>
            </w:r>
            <w:r>
              <w:t xml:space="preserve"> (</w:t>
            </w:r>
            <w:hyperlink w:tooltip="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 w:anchor="P140">
              <w:r>
                <w:rPr>
                  <w:color w:val="0000ff"/>
                </w:rPr>
                <w:t xml:space="preserve">подпункт 9.3.18 пункта </w:t>
              </w:r>
              <w:r>
                <w:rPr>
                  <w:color w:val="0000ff"/>
                </w:rPr>
                <w:t xml:space="preserve">9</w:t>
              </w:r>
            </w:hyperlink>
            <w:r>
              <w:t xml:space="preserve"> Правил)</w:t>
            </w:r>
          </w:p>
        </w:tc>
        <w:tc>
          <w:tcPr>
            <w:tcW w:w="2721" w:type="dxa"/>
            <w:vMerge w:val="restart"/>
          </w:tcPr>
          <w:p>
            <w:pPr>
              <w:pStyle w:val="ConsPlusNormal0"/>
            </w:pPr>
            <w:r>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w:t>
            </w:r>
            <w:r>
              <w:t xml:space="preserve">водяных тепловых сетей</w:t>
            </w:r>
          </w:p>
        </w:tc>
        <w:tc>
          <w:tcPr>
            <w:tcW w:w="907" w:type="dxa"/>
            <w:vMerge w:val="restart"/>
          </w:tcPr>
          <w:p>
            <w:pPr>
              <w:pStyle w:val="ConsPlusNormal0"/>
            </w:pPr>
            <w:r>
              <w:t xml:space="preserve">0,05</w:t>
            </w:r>
          </w:p>
        </w:tc>
        <w:tc>
          <w:tcPr>
            <w:tcW w:w="1701" w:type="dxa"/>
            <w:vMerge w:val="restart"/>
          </w:tcPr>
          <w:p>
            <w:pPr>
              <w:pStyle w:val="ConsPlusNormal0"/>
            </w:pPr>
            <w:r>
              <w:t xml:space="preserve">К</w:t>
            </w:r>
            <w:r>
              <w:rPr>
                <w:vertAlign w:val="subscript"/>
              </w:rPr>
              <w:t xml:space="preserve">испыт</w:t>
            </w:r>
          </w:p>
        </w:tc>
        <w:tc>
          <w:tcPr>
            <w:tcW w:w="2800" w:type="dxa"/>
            <w:tcBorders>
              <w:bottom w:val="none"/>
            </w:tcBorders>
          </w:tcPr>
          <w:p>
            <w:pPr>
              <w:pStyle w:val="ConsPlusNormal0"/>
            </w:pPr>
            <w:r>
              <w:t xml:space="preserve">Наличие - 1</w:t>
            </w:r>
          </w:p>
          <w:p>
            <w:pPr>
              <w:pStyle w:val="ConsPlusNormal0"/>
            </w:pPr>
            <w:r>
              <w:t xml:space="preserve">Отсутствие - 0</w:t>
            </w:r>
          </w:p>
        </w:tc>
        <w:tc>
          <w:tcPr>
            <w:tcW w:w="1077" w:type="dxa"/>
            <w:vMerge w:val="restart"/>
          </w:tcPr>
          <w:p>
            <w:pPr>
              <w:pStyle w:val="ConsPlusNormal0"/>
            </w:pPr>
          </w:p>
        </w:tc>
        <w:tc>
          <w:tcPr>
            <w:tcW w:w="1474" w:type="dxa"/>
            <w:vMerge w:val="restart"/>
          </w:tcPr>
          <w:p>
            <w:pPr>
              <w:pStyle w:val="ConsPlusNormal0"/>
            </w:pPr>
          </w:p>
        </w:tc>
      </w:tr>
      <w:tr>
        <w:tc>
          <w:tcPr>
            <w:tcW w:w="0" w:type="auto"/>
            <w:vMerge w:val="continue"/>
          </w:tcPr>
          <w:p>
            <w:pPr>
              <w:pStyle w:val="ConsPlusNormal0"/>
            </w:pPr>
          </w:p>
        </w:tc>
        <w:tc>
          <w:tcPr>
            <w:tcW w:w="0" w:type="auto"/>
            <w:vMerge w:val="continue"/>
            <w:tcBorders>
              <w:top w:val="none"/>
              <w:bottom w:val="none"/>
            </w:tcBorders>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2800" w:type="dxa"/>
            <w:tcBorders>
              <w:top w:val="none"/>
            </w:tcBorders>
          </w:tcPr>
          <w:p>
            <w:pPr>
              <w:pStyle w:val="ConsPlusNormal0"/>
            </w:pPr>
            <w:r>
              <w:t xml:space="preserve">В случае если бесхозяйные тепловые сети отсутствуют, </w:t>
            </w:r>
            <w:r>
              <w:t xml:space="preserve">К</w:t>
            </w:r>
            <w:r>
              <w:rPr>
                <w:vertAlign w:val="subscript"/>
              </w:rPr>
              <w:t xml:space="preserve">испыт</w:t>
            </w:r>
            <w:r>
              <w:t xml:space="preserve"> принимается </w:t>
            </w:r>
            <w:r>
              <w:t xml:space="preserve">равным</w:t>
            </w:r>
            <w:r>
              <w:t xml:space="preserve"> 1</w:t>
            </w:r>
          </w:p>
        </w:tc>
        <w:tc>
          <w:tcPr>
            <w:tcW w:w="0" w:type="auto"/>
            <w:vMerge w:val="continue"/>
          </w:tcPr>
          <w:p>
            <w:pPr>
              <w:pStyle w:val="ConsPlusNormal0"/>
            </w:pPr>
          </w:p>
        </w:tc>
        <w:tc>
          <w:tcPr>
            <w:tcW w:w="0" w:type="auto"/>
            <w:vMerge w:val="continue"/>
          </w:tcPr>
          <w:p>
            <w:pPr>
              <w:pStyle w:val="ConsPlusNormal0"/>
            </w:pPr>
          </w:p>
        </w:tc>
      </w:tr>
      <w:tr>
        <w:tc>
          <w:tcPr>
            <w:tcW w:w="1134" w:type="dxa"/>
            <w:vMerge w:val="restart"/>
          </w:tcPr>
          <w:p>
            <w:pPr>
              <w:pStyle w:val="ConsPlusNormal0"/>
            </w:pPr>
            <w:r>
              <w:t xml:space="preserve">1.5.4</w:t>
            </w:r>
          </w:p>
        </w:tc>
        <w:tc>
          <w:tcPr>
            <w:tcW w:w="3515" w:type="dxa"/>
            <w:vMerge w:val="restart"/>
            <w:tcBorders>
              <w:top w:val="none"/>
              <w:bottom w:val="none"/>
            </w:tcBorders>
          </w:tcPr>
          <w:p>
            <w:pPr>
              <w:pStyle w:val="ConsPlusNormal0"/>
            </w:pPr>
          </w:p>
        </w:tc>
        <w:tc>
          <w:tcPr>
            <w:tcW w:w="3685" w:type="dxa"/>
            <w:vMerge w:val="restart"/>
          </w:tcPr>
          <w:p>
            <w:pPr>
              <w:pStyle w:val="ConsPlusNormal0"/>
            </w:pPr>
            <w:r>
              <w:t xml:space="preserve">Акты проведения гидравлических испытаний на прочность и плотность трубопроводов тепловых сетей в соответствии с </w:t>
            </w:r>
            <w:hyperlink r:id="rId8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пунктом 26</w:t>
              </w:r>
            </w:hyperlink>
            <w:r>
              <w:t xml:space="preserve"> и </w:t>
            </w:r>
            <w:hyperlink r:id="rId8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абзацем восьмым пункта 333</w:t>
              </w:r>
            </w:hyperlink>
            <w:r>
              <w:t xml:space="preserve"> Правил N 511 (</w:t>
            </w:r>
            <w:hyperlink w:tooltip="9.3.19. Акты проведения гидравлических испытаний на прочность и плотность трубопроводов тепловых сетей в соответствии с пунктом 26 и абзацем восьмым пункта 333 Правил N 511." w:anchor="P142">
              <w:r>
                <w:rPr>
                  <w:color w:val="0000ff"/>
                </w:rPr>
                <w:t xml:space="preserve">подпункт 9.3.19 пункта 9</w:t>
              </w:r>
            </w:hyperlink>
            <w:r>
              <w:t xml:space="preserve"> Правил)</w:t>
            </w:r>
          </w:p>
        </w:tc>
        <w:tc>
          <w:tcPr>
            <w:tcW w:w="2721" w:type="dxa"/>
            <w:vMerge w:val="restart"/>
          </w:tcPr>
          <w:p>
            <w:pPr>
              <w:pStyle w:val="ConsPlusNormal0"/>
            </w:pPr>
            <w:r>
              <w:t xml:space="preserve">Показатель наличия актов проведения гидравлических испытаний на прочность и плотность трубопроводов тепловых сетей</w:t>
            </w:r>
          </w:p>
        </w:tc>
        <w:tc>
          <w:tcPr>
            <w:tcW w:w="907" w:type="dxa"/>
            <w:vMerge w:val="restart"/>
          </w:tcPr>
          <w:p>
            <w:pPr>
              <w:pStyle w:val="ConsPlusNormal0"/>
            </w:pPr>
            <w:r>
              <w:t xml:space="preserve">0,4</w:t>
            </w:r>
          </w:p>
        </w:tc>
        <w:tc>
          <w:tcPr>
            <w:tcW w:w="1701" w:type="dxa"/>
            <w:vMerge w:val="restart"/>
          </w:tcPr>
          <w:p>
            <w:pPr>
              <w:pStyle w:val="ConsPlusNormal0"/>
            </w:pPr>
            <w:r>
              <w:t xml:space="preserve">К</w:t>
            </w:r>
            <w:r>
              <w:rPr>
                <w:vertAlign w:val="subscript"/>
              </w:rPr>
              <w:t xml:space="preserve">гидр</w:t>
            </w:r>
          </w:p>
        </w:tc>
        <w:tc>
          <w:tcPr>
            <w:tcW w:w="2800" w:type="dxa"/>
            <w:tcBorders>
              <w:bottom w:val="none"/>
            </w:tcBorders>
          </w:tcPr>
          <w:p>
            <w:pPr>
              <w:pStyle w:val="ConsPlusNormal0"/>
            </w:pPr>
            <w:r>
              <w:t xml:space="preserve">Наличие - 1</w:t>
            </w:r>
          </w:p>
          <w:p>
            <w:pPr>
              <w:pStyle w:val="ConsPlusNormal0"/>
            </w:pPr>
            <w:r>
              <w:t xml:space="preserve">Отсутствие - 0</w:t>
            </w:r>
          </w:p>
        </w:tc>
        <w:tc>
          <w:tcPr>
            <w:tcW w:w="1077" w:type="dxa"/>
            <w:vMerge w:val="restart"/>
          </w:tcPr>
          <w:p>
            <w:pPr>
              <w:pStyle w:val="ConsPlusNormal0"/>
            </w:pPr>
          </w:p>
        </w:tc>
        <w:tc>
          <w:tcPr>
            <w:tcW w:w="1474" w:type="dxa"/>
            <w:vMerge w:val="restart"/>
          </w:tcPr>
          <w:p>
            <w:pPr>
              <w:pStyle w:val="ConsPlusNormal0"/>
            </w:pPr>
          </w:p>
        </w:tc>
      </w:tr>
      <w:tr>
        <w:tc>
          <w:tcPr>
            <w:tcW w:w="0" w:type="auto"/>
            <w:vMerge w:val="continue"/>
          </w:tcPr>
          <w:p>
            <w:pPr>
              <w:pStyle w:val="ConsPlusNormal0"/>
            </w:pPr>
          </w:p>
        </w:tc>
        <w:tc>
          <w:tcPr>
            <w:tcW w:w="0" w:type="auto"/>
            <w:vMerge w:val="continue"/>
            <w:tcBorders>
              <w:top w:val="none"/>
              <w:bottom w:val="none"/>
            </w:tcBorders>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2800" w:type="dxa"/>
            <w:tcBorders>
              <w:top w:val="none"/>
            </w:tcBorders>
          </w:tcPr>
          <w:p>
            <w:pPr>
              <w:pStyle w:val="ConsPlusNormal0"/>
            </w:pPr>
            <w:r>
              <w:t xml:space="preserve">В случае если бесхозяйные тепловые сети отсутствуют, </w:t>
            </w:r>
            <w:r>
              <w:t xml:space="preserve">К</w:t>
            </w:r>
            <w:r>
              <w:rPr>
                <w:vertAlign w:val="subscript"/>
              </w:rPr>
              <w:t xml:space="preserve">гидр</w:t>
            </w:r>
            <w:r>
              <w:t xml:space="preserve"> принимается </w:t>
            </w:r>
            <w:r>
              <w:t xml:space="preserve">равным</w:t>
            </w:r>
            <w:r>
              <w:t xml:space="preserve"> 1</w:t>
            </w:r>
          </w:p>
        </w:tc>
        <w:tc>
          <w:tcPr>
            <w:tcW w:w="0" w:type="auto"/>
            <w:vMerge w:val="continue"/>
          </w:tcPr>
          <w:p>
            <w:pPr>
              <w:pStyle w:val="ConsPlusNormal0"/>
            </w:pPr>
          </w:p>
        </w:tc>
        <w:tc>
          <w:tcPr>
            <w:tcW w:w="0" w:type="auto"/>
            <w:vMerge w:val="continue"/>
          </w:tcPr>
          <w:p>
            <w:pPr>
              <w:pStyle w:val="ConsPlusNormal0"/>
            </w:pPr>
          </w:p>
        </w:tc>
      </w:tr>
      <w:tr>
        <w:tc>
          <w:tcPr>
            <w:tcW w:w="1134" w:type="dxa"/>
            <w:vMerge w:val="restart"/>
          </w:tcPr>
          <w:p>
            <w:pPr>
              <w:pStyle w:val="ConsPlusNormal0"/>
            </w:pPr>
            <w:r>
              <w:t xml:space="preserve">1.5.5</w:t>
            </w:r>
          </w:p>
        </w:tc>
        <w:tc>
          <w:tcPr>
            <w:tcW w:w="0" w:type="auto"/>
            <w:vMerge w:val="continue"/>
            <w:tcBorders>
              <w:top w:val="none"/>
              <w:bottom w:val="none"/>
            </w:tcBorders>
          </w:tcPr>
          <w:p>
            <w:pPr>
              <w:pStyle w:val="ConsPlusNormal0"/>
            </w:pPr>
          </w:p>
        </w:tc>
        <w:tc>
          <w:tcPr>
            <w:tcW w:w="3685" w:type="dxa"/>
            <w:vMerge w:val="restart"/>
          </w:tcPr>
          <w:p>
            <w:pPr>
              <w:pStyle w:val="ConsPlusNormal0"/>
            </w:pPr>
            <w: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r>
              <w:t xml:space="preserve">бесканальной</w:t>
            </w:r>
            <w:r>
              <w:t xml:space="preserve"> прокладке, </w:t>
            </w:r>
            <w:r>
              <w:t xml:space="preserve">требования</w:t>
            </w:r>
            <w:r>
              <w:t xml:space="preserve"> к проведению которых установлены </w:t>
            </w:r>
            <w:hyperlink r:id="rId8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пунктами 367</w:t>
              </w:r>
            </w:hyperlink>
            <w:r>
              <w:t xml:space="preserve"> - </w:t>
            </w:r>
            <w:hyperlink r:id="rId8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369</w:t>
              </w:r>
            </w:hyperlink>
            <w:r>
              <w:t xml:space="preserve"> Правил N 511 (</w:t>
            </w:r>
            <w:hyperlink w:tooltip="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 w:anchor="P144">
              <w:r>
                <w:rPr>
                  <w:color w:val="0000ff"/>
                </w:rPr>
                <w:t xml:space="preserve">подпункт 9.3.20 пункта 9</w:t>
              </w:r>
            </w:hyperlink>
            <w:r>
              <w:t xml:space="preserve"> Правил)</w:t>
            </w:r>
          </w:p>
        </w:tc>
        <w:tc>
          <w:tcPr>
            <w:tcW w:w="2721" w:type="dxa"/>
            <w:vMerge w:val="restart"/>
          </w:tcPr>
          <w:p>
            <w:pPr>
              <w:pStyle w:val="ConsPlusNormal0"/>
            </w:pPr>
            <w:r>
              <w:t xml:space="preserve">Показатель наличия документов, подтверждающих проведение мероприятий по </w:t>
            </w:r>
            <w:r>
              <w:t xml:space="preserve">контролю за</w:t>
            </w:r>
            <w:r>
              <w:t xml:space="preserve"> состоянием подземных трубопроводов тепловой сети (за исключением неметаллических), проложенных в непроходных каналах, и при </w:t>
            </w:r>
            <w:r>
              <w:t xml:space="preserve">бесканальной</w:t>
            </w:r>
            <w:r>
              <w:t xml:space="preserve"> прокладке</w:t>
            </w:r>
          </w:p>
        </w:tc>
        <w:tc>
          <w:tcPr>
            <w:tcW w:w="907" w:type="dxa"/>
            <w:vMerge w:val="restart"/>
          </w:tcPr>
          <w:p>
            <w:pPr>
              <w:pStyle w:val="ConsPlusNormal0"/>
            </w:pPr>
            <w:r>
              <w:t xml:space="preserve">0,02</w:t>
            </w:r>
          </w:p>
        </w:tc>
        <w:tc>
          <w:tcPr>
            <w:tcW w:w="1701" w:type="dxa"/>
            <w:vMerge w:val="restart"/>
          </w:tcPr>
          <w:p>
            <w:pPr>
              <w:pStyle w:val="ConsPlusNormal0"/>
            </w:pPr>
            <w:r>
              <w:t xml:space="preserve">К</w:t>
            </w:r>
            <w:r>
              <w:rPr>
                <w:vertAlign w:val="subscript"/>
              </w:rPr>
              <w:t xml:space="preserve">шурф</w:t>
            </w:r>
          </w:p>
        </w:tc>
        <w:tc>
          <w:tcPr>
            <w:tcW w:w="2800" w:type="dxa"/>
            <w:tcBorders>
              <w:bottom w:val="none"/>
            </w:tcBorders>
          </w:tcPr>
          <w:p>
            <w:pPr>
              <w:pStyle w:val="ConsPlusNormal0"/>
            </w:pPr>
            <w:r>
              <w:t xml:space="preserve">Наличие - 1</w:t>
            </w:r>
          </w:p>
          <w:p>
            <w:pPr>
              <w:pStyle w:val="ConsPlusNormal0"/>
            </w:pPr>
            <w:r>
              <w:t xml:space="preserve">Отсутствие - 0</w:t>
            </w:r>
          </w:p>
        </w:tc>
        <w:tc>
          <w:tcPr>
            <w:tcW w:w="1077" w:type="dxa"/>
            <w:vMerge w:val="restart"/>
          </w:tcPr>
          <w:p>
            <w:pPr>
              <w:pStyle w:val="ConsPlusNormal0"/>
            </w:pPr>
          </w:p>
        </w:tc>
        <w:tc>
          <w:tcPr>
            <w:tcW w:w="1474" w:type="dxa"/>
            <w:vMerge w:val="restart"/>
          </w:tcPr>
          <w:p>
            <w:pPr>
              <w:pStyle w:val="ConsPlusNormal0"/>
            </w:pPr>
          </w:p>
        </w:tc>
      </w:tr>
      <w:tr>
        <w:tc>
          <w:tcPr>
            <w:tcW w:w="0" w:type="auto"/>
            <w:vMerge w:val="continue"/>
          </w:tcPr>
          <w:p>
            <w:pPr>
              <w:pStyle w:val="ConsPlusNormal0"/>
            </w:pPr>
          </w:p>
        </w:tc>
        <w:tc>
          <w:tcPr>
            <w:tcW w:w="0" w:type="auto"/>
            <w:vMerge w:val="continue"/>
            <w:tcBorders>
              <w:top w:val="none"/>
              <w:bottom w:val="none"/>
            </w:tcBorders>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2800" w:type="dxa"/>
            <w:tcBorders>
              <w:top w:val="none"/>
            </w:tcBorders>
          </w:tcPr>
          <w:p>
            <w:pPr>
              <w:pStyle w:val="ConsPlusNormal0"/>
            </w:pPr>
            <w:r>
              <w:t xml:space="preserve">В случае если бесхозяйные тепловые сети отсутствуют, </w:t>
            </w:r>
            <w:r>
              <w:t xml:space="preserve">К</w:t>
            </w:r>
            <w:r>
              <w:rPr>
                <w:vertAlign w:val="subscript"/>
              </w:rPr>
              <w:t xml:space="preserve">шурф</w:t>
            </w:r>
            <w:r>
              <w:t xml:space="preserve"> принимается </w:t>
            </w:r>
            <w:r>
              <w:t xml:space="preserve">равным</w:t>
            </w:r>
            <w:r>
              <w:t xml:space="preserve"> 1</w:t>
            </w:r>
          </w:p>
        </w:tc>
        <w:tc>
          <w:tcPr>
            <w:tcW w:w="0" w:type="auto"/>
            <w:vMerge w:val="continue"/>
          </w:tcPr>
          <w:p>
            <w:pPr>
              <w:pStyle w:val="ConsPlusNormal0"/>
            </w:pPr>
          </w:p>
        </w:tc>
        <w:tc>
          <w:tcPr>
            <w:tcW w:w="0" w:type="auto"/>
            <w:vMerge w:val="continue"/>
          </w:tcPr>
          <w:p>
            <w:pPr>
              <w:pStyle w:val="ConsPlusNormal0"/>
            </w:pPr>
          </w:p>
        </w:tc>
      </w:tr>
      <w:tr>
        <w:tc>
          <w:tcPr>
            <w:tcW w:w="1134" w:type="dxa"/>
          </w:tcPr>
          <w:p>
            <w:pPr>
              <w:pStyle w:val="ConsPlusNormal0"/>
            </w:pPr>
            <w:r>
              <w:t xml:space="preserve">1.5.6</w:t>
            </w:r>
          </w:p>
        </w:tc>
        <w:tc>
          <w:tcPr>
            <w:tcW w:w="0" w:type="auto"/>
            <w:vMerge w:val="continue"/>
            <w:tcBorders>
              <w:top w:val="none"/>
              <w:bottom w:val="none"/>
            </w:tcBorders>
          </w:tcPr>
          <w:p>
            <w:pPr>
              <w:pStyle w:val="ConsPlusNormal0"/>
            </w:pPr>
          </w:p>
        </w:tc>
        <w:tc>
          <w:tcPr>
            <w:tcW w:w="3685" w:type="dxa"/>
          </w:tcPr>
          <w:p>
            <w:pPr>
              <w:pStyle w:val="ConsPlusNormal0"/>
            </w:pPr>
            <w:r>
              <w:t xml:space="preserve">Акты о проведении </w:t>
            </w:r>
            <w:r>
              <w:t xml:space="preserve">очистки и промывки тепловых сетей, тепловых пунктов, требования к которым установлены </w:t>
            </w:r>
            <w:hyperlink r:id="rId8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пунктами 335</w:t>
              </w:r>
            </w:hyperlink>
            <w:r>
              <w:t xml:space="preserve"> - </w:t>
            </w:r>
            <w:hyperlink r:id="rId8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337</w:t>
              </w:r>
            </w:hyperlink>
            <w:r>
              <w:t xml:space="preserve">, </w:t>
            </w:r>
            <w:hyperlink r:id="rId8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абзацами шестым</w:t>
              </w:r>
            </w:hyperlink>
            <w:r>
              <w:t xml:space="preserve"> - </w:t>
            </w:r>
            <w:hyperlink r:id="rId8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восьмым пункта 404</w:t>
              </w:r>
            </w:hyperlink>
            <w:r>
              <w:t xml:space="preserve"> и</w:t>
            </w:r>
            <w:r>
              <w:t xml:space="preserve"> </w:t>
            </w:r>
            <w:hyperlink r:id="rId8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пунктом 412</w:t>
              </w:r>
            </w:hyperlink>
            <w:r>
              <w:t xml:space="preserve"> Правил N 511 (</w:t>
            </w:r>
            <w:hyperlink w:tooltip="9.3.21. Акты о проведении очистки и промывки тепловых сетей, тепловых пунктов, требования к которым установлены пунктами 335 - 337, абзацами шестым - восьмым пункта 404 и пунктом 412 Правил N 511." w:anchor="P146">
              <w:r>
                <w:rPr>
                  <w:color w:val="0000ff"/>
                </w:rPr>
                <w:t xml:space="preserve">подпункт 9.3.21 пункта 9</w:t>
              </w:r>
            </w:hyperlink>
            <w:r>
              <w:t xml:space="preserve"> Правил)</w:t>
            </w:r>
          </w:p>
        </w:tc>
        <w:tc>
          <w:tcPr>
            <w:tcW w:w="2721" w:type="dxa"/>
          </w:tcPr>
          <w:p>
            <w:pPr>
              <w:pStyle w:val="ConsPlusNormal0"/>
            </w:pPr>
            <w:r>
              <w:t xml:space="preserve">Показатель наличия </w:t>
            </w:r>
            <w:r>
              <w:t xml:space="preserve">актов о проведении очистки и тепловых сетей, тепловых пунктов</w:t>
            </w:r>
          </w:p>
        </w:tc>
        <w:tc>
          <w:tcPr>
            <w:tcW w:w="907" w:type="dxa"/>
          </w:tcPr>
          <w:p>
            <w:pPr>
              <w:pStyle w:val="ConsPlusNormal0"/>
            </w:pPr>
            <w:r>
              <w:t xml:space="preserve">0,4</w:t>
            </w:r>
          </w:p>
        </w:tc>
        <w:tc>
          <w:tcPr>
            <w:tcW w:w="1701" w:type="dxa"/>
          </w:tcPr>
          <w:p>
            <w:pPr>
              <w:pStyle w:val="ConsPlusNormal0"/>
            </w:pPr>
            <w:r>
              <w:t xml:space="preserve">К</w:t>
            </w:r>
            <w:r>
              <w:rPr>
                <w:vertAlign w:val="subscript"/>
              </w:rPr>
              <w:t xml:space="preserve">очист</w:t>
            </w:r>
            <w:r>
              <w:rPr>
                <w:vertAlign w:val="subscript"/>
              </w:rPr>
              <w:t xml:space="preserve">.п</w:t>
            </w:r>
            <w:r>
              <w:rPr>
                <w:vertAlign w:val="subscript"/>
              </w:rPr>
              <w:t xml:space="preserve">ромыв</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vMerge w:val="restart"/>
          </w:tcPr>
          <w:p>
            <w:pPr>
              <w:pStyle w:val="ConsPlusNormal0"/>
            </w:pPr>
            <w:r>
              <w:t xml:space="preserve">1.5.7</w:t>
            </w:r>
          </w:p>
        </w:tc>
        <w:tc>
          <w:tcPr>
            <w:tcW w:w="0" w:type="auto"/>
            <w:vMerge w:val="continue"/>
            <w:tcBorders>
              <w:top w:val="none"/>
              <w:bottom w:val="none"/>
            </w:tcBorders>
          </w:tcPr>
          <w:p>
            <w:pPr>
              <w:pStyle w:val="ConsPlusNormal0"/>
            </w:pPr>
          </w:p>
        </w:tc>
        <w:tc>
          <w:tcPr>
            <w:tcW w:w="3685" w:type="dxa"/>
            <w:vMerge w:val="restart"/>
          </w:tcPr>
          <w:p>
            <w:pPr>
              <w:pStyle w:val="ConsPlusNormal0"/>
            </w:pPr>
            <w:r>
              <w:t xml:space="preserve">Акт измерений удельного электрического сопротивления грунта и потенциалов блуждающих токов в соответствии с требованиями </w:t>
            </w:r>
            <w:hyperlink r:id="rId9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 364</w:t>
              </w:r>
            </w:hyperlink>
            <w:r>
              <w:t xml:space="preserve"> Правил N 511 (</w:t>
            </w:r>
            <w:hyperlink w:tooltip="9.3.23. Акт измерений удельного электрического сопротивления грунта и потенциалов блуждающих токов в соответствии с требованиями пункта 364 Правил N 511." w:anchor="P150">
              <w:r>
                <w:rPr>
                  <w:color w:val="0000ff"/>
                </w:rPr>
                <w:t xml:space="preserve">подпункт 9.3.23 Пункта 9</w:t>
              </w:r>
            </w:hyperlink>
            <w:r>
              <w:t xml:space="preserve"> Правил)</w:t>
            </w:r>
          </w:p>
        </w:tc>
        <w:tc>
          <w:tcPr>
            <w:tcW w:w="2721" w:type="dxa"/>
            <w:vMerge w:val="restart"/>
          </w:tcPr>
          <w:p>
            <w:pPr>
              <w:pStyle w:val="ConsPlusNormal0"/>
            </w:pPr>
            <w:r>
              <w:t xml:space="preserve">Показатель </w:t>
            </w:r>
            <w:r>
              <w:t xml:space="preserve">наличия актов измерений удельного электрического сопротивления грунта</w:t>
            </w:r>
            <w:r>
              <w:t xml:space="preserve"> и потенциалов блуждающих токов</w:t>
            </w:r>
          </w:p>
        </w:tc>
        <w:tc>
          <w:tcPr>
            <w:tcW w:w="907" w:type="dxa"/>
            <w:vMerge w:val="restart"/>
          </w:tcPr>
          <w:p>
            <w:pPr>
              <w:pStyle w:val="ConsPlusNormal0"/>
            </w:pPr>
            <w:r>
              <w:t xml:space="preserve">0,01</w:t>
            </w:r>
          </w:p>
        </w:tc>
        <w:tc>
          <w:tcPr>
            <w:tcW w:w="1701" w:type="dxa"/>
            <w:vMerge w:val="restart"/>
          </w:tcPr>
          <w:p>
            <w:pPr>
              <w:pStyle w:val="ConsPlusNormal0"/>
            </w:pPr>
            <w:r>
              <w:t xml:space="preserve">К</w:t>
            </w:r>
            <w:r>
              <w:rPr>
                <w:vertAlign w:val="subscript"/>
              </w:rPr>
              <w:t xml:space="preserve">электр</w:t>
            </w:r>
            <w:r>
              <w:rPr>
                <w:vertAlign w:val="subscript"/>
              </w:rPr>
              <w:t xml:space="preserve">.с</w:t>
            </w:r>
            <w:r>
              <w:rPr>
                <w:vertAlign w:val="subscript"/>
              </w:rPr>
              <w:t xml:space="preserve">опр</w:t>
            </w:r>
          </w:p>
        </w:tc>
        <w:tc>
          <w:tcPr>
            <w:tcW w:w="2800" w:type="dxa"/>
            <w:tcBorders>
              <w:bottom w:val="none"/>
            </w:tcBorders>
          </w:tcPr>
          <w:p>
            <w:pPr>
              <w:pStyle w:val="ConsPlusNormal0"/>
            </w:pPr>
            <w:r>
              <w:t xml:space="preserve">Наличие - 1</w:t>
            </w:r>
          </w:p>
          <w:p>
            <w:pPr>
              <w:pStyle w:val="ConsPlusNormal0"/>
            </w:pPr>
            <w:r>
              <w:t xml:space="preserve">Отсутствие - 0</w:t>
            </w:r>
          </w:p>
        </w:tc>
        <w:tc>
          <w:tcPr>
            <w:tcW w:w="1077" w:type="dxa"/>
            <w:vMerge w:val="restart"/>
          </w:tcPr>
          <w:p>
            <w:pPr>
              <w:pStyle w:val="ConsPlusNormal0"/>
            </w:pPr>
          </w:p>
        </w:tc>
        <w:tc>
          <w:tcPr>
            <w:tcW w:w="1474" w:type="dxa"/>
            <w:vMerge w:val="restart"/>
          </w:tcPr>
          <w:p>
            <w:pPr>
              <w:pStyle w:val="ConsPlusNormal0"/>
            </w:pPr>
          </w:p>
        </w:tc>
      </w:tr>
      <w:tr>
        <w:tc>
          <w:tcPr>
            <w:tcW w:w="0" w:type="auto"/>
            <w:vMerge w:val="continue"/>
          </w:tcPr>
          <w:p>
            <w:pPr>
              <w:pStyle w:val="ConsPlusNormal0"/>
            </w:pPr>
          </w:p>
        </w:tc>
        <w:tc>
          <w:tcPr>
            <w:tcW w:w="0" w:type="auto"/>
            <w:vMerge w:val="continue"/>
            <w:tcBorders>
              <w:top w:val="none"/>
              <w:bottom w:val="none"/>
            </w:tcBorders>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2800" w:type="dxa"/>
            <w:tcBorders>
              <w:top w:val="none"/>
            </w:tcBorders>
          </w:tcPr>
          <w:p>
            <w:pPr>
              <w:pStyle w:val="ConsPlusNormal0"/>
            </w:pPr>
            <w:r>
              <w:t xml:space="preserve">В случае если бесхозяйные тепловые сети отсутствуют, </w:t>
            </w:r>
            <w:r>
              <w:t xml:space="preserve">К</w:t>
            </w:r>
            <w:r>
              <w:rPr>
                <w:vertAlign w:val="subscript"/>
              </w:rPr>
              <w:t xml:space="preserve">электр</w:t>
            </w:r>
            <w:r>
              <w:rPr>
                <w:vertAlign w:val="subscript"/>
              </w:rPr>
              <w:t xml:space="preserve">.с</w:t>
            </w:r>
            <w:r>
              <w:rPr>
                <w:vertAlign w:val="subscript"/>
              </w:rPr>
              <w:t xml:space="preserve">опр</w:t>
            </w:r>
            <w:r>
              <w:t xml:space="preserve"> принимается равным 1</w:t>
            </w:r>
          </w:p>
        </w:tc>
        <w:tc>
          <w:tcPr>
            <w:tcW w:w="0" w:type="auto"/>
            <w:vMerge w:val="continue"/>
          </w:tcPr>
          <w:p>
            <w:pPr>
              <w:pStyle w:val="ConsPlusNormal0"/>
            </w:pPr>
          </w:p>
        </w:tc>
        <w:tc>
          <w:tcPr>
            <w:tcW w:w="0" w:type="auto"/>
            <w:vMerge w:val="continue"/>
          </w:tcPr>
          <w:p>
            <w:pPr>
              <w:pStyle w:val="ConsPlusNormal0"/>
            </w:pPr>
          </w:p>
        </w:tc>
      </w:tr>
      <w:tr>
        <w:tc>
          <w:tcPr>
            <w:tcW w:w="1134" w:type="dxa"/>
          </w:tcPr>
          <w:p>
            <w:pPr>
              <w:pStyle w:val="ConsPlusNormal0"/>
            </w:pPr>
            <w:r>
              <w:t xml:space="preserve">1.5.8</w:t>
            </w:r>
          </w:p>
        </w:tc>
        <w:tc>
          <w:tcPr>
            <w:tcW w:w="0" w:type="auto"/>
            <w:vMerge w:val="continue"/>
            <w:tcBorders>
              <w:top w:val="none"/>
              <w:bottom w:val="none"/>
            </w:tcBorders>
          </w:tcPr>
          <w:p>
            <w:pPr>
              <w:pStyle w:val="ConsPlusNormal0"/>
            </w:pPr>
          </w:p>
        </w:tc>
        <w:tc>
          <w:tcPr>
            <w:tcW w:w="3685" w:type="dxa"/>
          </w:tcPr>
          <w:p>
            <w:pPr>
              <w:pStyle w:val="ConsPlusNormal0"/>
            </w:pPr>
            <w:r>
              <w:t xml:space="preserve">Акт опробования работоспособности оборудования насосных станций, проведение которого установлено требованиями </w:t>
            </w:r>
            <w:hyperlink r:id="rId9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 388</w:t>
              </w:r>
            </w:hyperlink>
            <w:r>
              <w:t xml:space="preserve"> Правил N 511 (</w:t>
            </w:r>
            <w:hyperlink w:tooltip="9.3.24. Акт опробования работоспособности оборудования насосных станций, проведение которого установлено требованиями пункта 388 Правил N 511." w:anchor="P152">
              <w:r>
                <w:rPr>
                  <w:color w:val="0000ff"/>
                </w:rPr>
                <w:t xml:space="preserve">подпункт 9.3.24 Пункта 9</w:t>
              </w:r>
            </w:hyperlink>
            <w:r>
              <w:t xml:space="preserve"> Правил)</w:t>
            </w:r>
          </w:p>
        </w:tc>
        <w:tc>
          <w:tcPr>
            <w:tcW w:w="2721" w:type="dxa"/>
          </w:tcPr>
          <w:p>
            <w:pPr>
              <w:pStyle w:val="ConsPlusNormal0"/>
            </w:pPr>
            <w:r>
              <w:t xml:space="preserve">Показатель </w:t>
            </w:r>
            <w:r>
              <w:t xml:space="preserve">наличия акта опробования работоспособности оборудования насосных станций</w:t>
            </w:r>
          </w:p>
        </w:tc>
        <w:tc>
          <w:tcPr>
            <w:tcW w:w="907" w:type="dxa"/>
          </w:tcPr>
          <w:p>
            <w:pPr>
              <w:pStyle w:val="ConsPlusNormal0"/>
            </w:pPr>
            <w:r>
              <w:t xml:space="preserve">0,01</w:t>
            </w:r>
          </w:p>
        </w:tc>
        <w:tc>
          <w:tcPr>
            <w:tcW w:w="1701" w:type="dxa"/>
          </w:tcPr>
          <w:p>
            <w:pPr>
              <w:pStyle w:val="ConsPlusNormal0"/>
            </w:pPr>
            <w:r>
              <w:t xml:space="preserve">К</w:t>
            </w:r>
            <w:r>
              <w:rPr>
                <w:vertAlign w:val="subscript"/>
              </w:rPr>
              <w:t xml:space="preserve">насос</w:t>
            </w:r>
            <w:r>
              <w:rPr>
                <w:vertAlign w:val="subscript"/>
              </w:rPr>
              <w:t xml:space="preserve">.с</w:t>
            </w:r>
            <w:r>
              <w:rPr>
                <w:vertAlign w:val="subscript"/>
              </w:rPr>
              <w:t xml:space="preserve">тан</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1.5.9</w:t>
            </w:r>
          </w:p>
        </w:tc>
        <w:tc>
          <w:tcPr>
            <w:tcW w:w="3515" w:type="dxa"/>
            <w:vMerge w:val="restart"/>
            <w:tcBorders>
              <w:top w:val="none"/>
            </w:tcBorders>
          </w:tcPr>
          <w:p>
            <w:pPr>
              <w:pStyle w:val="ConsPlusNormal0"/>
            </w:pPr>
          </w:p>
        </w:tc>
        <w:tc>
          <w:tcPr>
            <w:tcW w:w="3685" w:type="dxa"/>
            <w:vMerge w:val="restart"/>
          </w:tcPr>
          <w:p>
            <w:pPr>
              <w:pStyle w:val="ConsPlusNormal0"/>
            </w:pPr>
            <w:r>
              <w:t xml:space="preserve">Утвержденный в соответствии с требованиями </w:t>
            </w:r>
            <w:hyperlink r:id="rId9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 28</w:t>
              </w:r>
            </w:hyperlink>
            <w:r>
              <w:t xml:space="preserve">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93" w:tooltip="Приказ Минфина России от 29.07.1998 N 34н (ред. от 11.04.2018) &quot;Об утверждении Положения по ведению бухгалтерского учета и бухгалтерской отчетности в Российской Федерации&quot; (Зарегистрировано в Минюсте России 27.08.1998 N 1598) {КонсультантПлюс}">
              <w:r>
                <w:rPr>
                  <w:color w:val="0000ff"/>
                </w:rPr>
                <w:t xml:space="preserve">Положения</w:t>
              </w:r>
            </w:hyperlink>
            <w:r>
              <w:t xml:space="preserve"> по ведению бухгалтерского учета и бухгалтерской отчетности в Российской</w:t>
            </w:r>
            <w:r>
              <w:t xml:space="preserve"> Федерации, утвержденного приказом Минфина России от 29 июля 1998 г. N 34н </w:t>
            </w:r>
            <w:hyperlink w:tooltip="&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 w:anchor="P999">
              <w:r>
                <w:rPr>
                  <w:color w:val="0000ff"/>
                </w:rPr>
                <w:t xml:space="preserve">&lt;5&gt;</w:t>
              </w:r>
            </w:hyperlink>
            <w:r>
              <w:t xml:space="preserve"> (</w:t>
            </w:r>
            <w:hyperlink w:tooltip="9.3.26. Утвержденный в соответствии с требованиями пункта 28 Правил N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 w:anchor="P158">
              <w:r>
                <w:rPr>
                  <w:color w:val="0000ff"/>
                </w:rPr>
                <w:t xml:space="preserve">подпункт 9.3.26 Пункта 9</w:t>
              </w:r>
            </w:hyperlink>
            <w:r>
              <w:t xml:space="preserve"> Правил)</w:t>
            </w:r>
          </w:p>
        </w:tc>
        <w:tc>
          <w:tcPr>
            <w:tcW w:w="2721" w:type="dxa"/>
            <w:vMerge w:val="restart"/>
          </w:tcPr>
          <w:p>
            <w:pPr>
              <w:pStyle w:val="ConsPlusNormal0"/>
            </w:pPr>
            <w:r>
              <w:t xml:space="preserve">Показатель наличия запасов материалов, запорной арматуры, запасных частей, средств механизации</w:t>
            </w:r>
          </w:p>
        </w:tc>
        <w:tc>
          <w:tcPr>
            <w:tcW w:w="907" w:type="dxa"/>
          </w:tcPr>
          <w:p>
            <w:pPr>
              <w:pStyle w:val="ConsPlusNormal0"/>
            </w:pPr>
            <w:r>
              <w:t xml:space="preserve">0,04</w:t>
            </w:r>
          </w:p>
        </w:tc>
        <w:tc>
          <w:tcPr>
            <w:tcW w:w="1701" w:type="dxa"/>
          </w:tcPr>
          <w:p>
            <w:pPr>
              <w:pStyle w:val="ConsPlusNormal0"/>
            </w:pPr>
            <w:r>
              <w:t xml:space="preserve">К</w:t>
            </w:r>
            <w:r>
              <w:rPr>
                <w:vertAlign w:val="subscript"/>
              </w:rPr>
              <w:t xml:space="preserve">матер</w:t>
            </w:r>
          </w:p>
        </w:tc>
        <w:tc>
          <w:tcPr>
            <w:tcW w:w="2800" w:type="dxa"/>
          </w:tcPr>
          <w:p>
            <w:pPr>
              <w:pStyle w:val="ConsPlusNormal0"/>
            </w:pPr>
            <w:r>
              <w:rPr>
                <w:position w:val="-30"/>
              </w:rPr>
              <mc:AlternateContent>
                <mc:Choice Requires="wpg">
                  <w:drawing>
                    <wp:inline xmlns:wp="http://schemas.openxmlformats.org/drawingml/2006/wordprocessingDrawing" distT="0" distB="0" distL="0" distR="0">
                      <wp:extent cx="1188720" cy="537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94">
                                <a:extLst>
                                  <a:ext uri="{96DAC541-7B7A-43D3-8B79-37D633B846F1}">
                                    <asvg:svgBlip xmlns:asvg="http://schemas.microsoft.com/office/drawing/2016/SVG/main" r:embed="rId95"/>
                                  </a:ext>
                                </a:extLst>
                              </a:blip>
                              <a:srcRect/>
                              <a:stretch/>
                            </pic:blipFill>
                            <pic:spPr bwMode="auto">
                              <a:xfrm>
                                <a:off x="0" y="0"/>
                                <a:ext cx="1188720" cy="53721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93.60pt;height:42.30pt;mso-wrap-distance-left:0.00pt;mso-wrap-distance-top:0.00pt;mso-wrap-distance-right:0.00pt;mso-wrap-distance-bottom:0.00pt;" stroked="f">
                      <v:path textboxrect="0,0,0,0"/>
                      <v:imagedata r:id="rId94" o:title=""/>
                    </v:shape>
                  </w:pict>
                </mc:Fallback>
              </mc:AlternateConten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1.5.9.1</w:t>
            </w:r>
          </w:p>
        </w:tc>
        <w:tc>
          <w:tcPr>
            <w:tcW w:w="0" w:type="auto"/>
            <w:vMerge w:val="continue"/>
            <w:tcBorders>
              <w:top w:val="none"/>
            </w:tcBorders>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907" w:type="dxa"/>
          </w:tcPr>
          <w:p>
            <w:pPr>
              <w:pStyle w:val="ConsPlusNormal0"/>
            </w:pPr>
            <w:r>
              <w:t xml:space="preserve">-</w:t>
            </w:r>
          </w:p>
        </w:tc>
        <w:tc>
          <w:tcPr>
            <w:tcW w:w="1701" w:type="dxa"/>
          </w:tcPr>
          <w:p>
            <w:pPr>
              <w:pStyle w:val="ConsPlusNormal0"/>
            </w:pPr>
            <w:r>
              <w:t xml:space="preserve">К</w:t>
            </w:r>
            <w:r>
              <w:rPr>
                <w:vertAlign w:val="subscript"/>
              </w:rPr>
              <w:t xml:space="preserve">инвент</w:t>
            </w:r>
          </w:p>
        </w:tc>
        <w:tc>
          <w:tcPr>
            <w:tcW w:w="2800" w:type="dxa"/>
          </w:tcPr>
          <w:p>
            <w:pPr>
              <w:pStyle w:val="ConsPlusNormal0"/>
            </w:pPr>
            <w:r>
              <w:t xml:space="preserve">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последней инвентаризации</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1.5.9.2</w:t>
            </w:r>
          </w:p>
        </w:tc>
        <w:tc>
          <w:tcPr>
            <w:tcW w:w="0" w:type="auto"/>
            <w:vMerge w:val="continue"/>
            <w:tcBorders>
              <w:top w:val="none"/>
            </w:tcBorders>
          </w:tcPr>
          <w:p>
            <w:pPr>
              <w:pStyle w:val="ConsPlusNormal0"/>
            </w:pPr>
          </w:p>
        </w:tc>
        <w:tc>
          <w:tcPr>
            <w:tcW w:w="0" w:type="auto"/>
            <w:vMerge w:val="continue"/>
          </w:tcPr>
          <w:p>
            <w:pPr>
              <w:pStyle w:val="ConsPlusNormal0"/>
            </w:pPr>
          </w:p>
        </w:tc>
        <w:tc>
          <w:tcPr>
            <w:tcW w:w="0" w:type="auto"/>
            <w:vMerge w:val="continue"/>
          </w:tcPr>
          <w:p>
            <w:pPr>
              <w:pStyle w:val="ConsPlusNormal0"/>
            </w:pPr>
          </w:p>
        </w:tc>
        <w:tc>
          <w:tcPr>
            <w:tcW w:w="907" w:type="dxa"/>
          </w:tcPr>
          <w:p>
            <w:pPr>
              <w:pStyle w:val="ConsPlusNormal0"/>
            </w:pPr>
            <w:r>
              <w:t xml:space="preserve">-</w:t>
            </w:r>
          </w:p>
        </w:tc>
        <w:tc>
          <w:tcPr>
            <w:tcW w:w="1701" w:type="dxa"/>
          </w:tcPr>
          <w:p>
            <w:pPr>
              <w:pStyle w:val="ConsPlusNormal0"/>
            </w:pPr>
            <w:r>
              <w:t xml:space="preserve">К</w:t>
            </w:r>
            <w:r>
              <w:rPr>
                <w:vertAlign w:val="subscript"/>
              </w:rPr>
              <w:t xml:space="preserve">перечня</w:t>
            </w:r>
          </w:p>
        </w:tc>
        <w:tc>
          <w:tcPr>
            <w:tcW w:w="2800" w:type="dxa"/>
          </w:tcPr>
          <w:p>
            <w:pPr>
              <w:pStyle w:val="ConsPlusNormal0"/>
            </w:pPr>
            <w:r>
              <w:t xml:space="preserve">Количество запасов материалов, запорной арматуры, запасных частей, средств механизации для выполнения срочных внеплановых (аварийных) ремонтных работ согласно перечню</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1.5.10</w:t>
            </w:r>
          </w:p>
        </w:tc>
        <w:tc>
          <w:tcPr>
            <w:tcW w:w="3515" w:type="dxa"/>
          </w:tcPr>
          <w:p>
            <w:pPr>
              <w:pStyle w:val="ConsPlusNormal0"/>
            </w:pPr>
          </w:p>
        </w:tc>
        <w:tc>
          <w:tcPr>
            <w:tcW w:w="3685" w:type="dxa"/>
          </w:tcPr>
          <w:p>
            <w:pPr>
              <w:pStyle w:val="ConsPlusNormal0"/>
            </w:pPr>
            <w:r>
              <w:t xml:space="preserve">В соответствии с требованиями </w:t>
            </w:r>
            <w:hyperlink r:id="rId9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 xml:space="preserve">части 1 статьи 9</w:t>
              </w:r>
            </w:hyperlink>
            <w: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w:t>
            </w:r>
            <w:r>
              <w:t xml:space="preserve">государственной охраны, внешней разведки, мобилизационной подготовки и мобилизации (</w:t>
            </w:r>
            <w:hyperlink w:tooltip="9.3.27. 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 w:anchor="P163">
              <w:r>
                <w:rPr>
                  <w:color w:val="0000ff"/>
                </w:rPr>
                <w:t xml:space="preserve">подпункт 9.3.27 пункта 9</w:t>
              </w:r>
            </w:hyperlink>
            <w:r>
              <w:t xml:space="preserve"> Правил)</w:t>
            </w:r>
          </w:p>
        </w:tc>
        <w:tc>
          <w:tcPr>
            <w:tcW w:w="2721" w:type="dxa"/>
          </w:tcPr>
          <w:p>
            <w:pPr>
              <w:pStyle w:val="ConsPlusNormal0"/>
            </w:pPr>
            <w:r>
              <w:t xml:space="preserve">Показатель наличия лицензии Ростехнадзора и договора обязательного страхования гражданской ответственности</w:t>
            </w:r>
          </w:p>
        </w:tc>
        <w:tc>
          <w:tcPr>
            <w:tcW w:w="907" w:type="dxa"/>
          </w:tcPr>
          <w:p>
            <w:pPr>
              <w:pStyle w:val="ConsPlusNormal0"/>
            </w:pPr>
            <w:r>
              <w:t xml:space="preserve">0,01</w:t>
            </w:r>
          </w:p>
        </w:tc>
        <w:tc>
          <w:tcPr>
            <w:tcW w:w="1701" w:type="dxa"/>
          </w:tcPr>
          <w:p>
            <w:pPr>
              <w:pStyle w:val="ConsPlusNormal0"/>
            </w:pPr>
            <w:r>
              <w:t xml:space="preserve">К</w:t>
            </w:r>
            <w:r>
              <w:rPr>
                <w:vertAlign w:val="subscript"/>
              </w:rPr>
              <w:t xml:space="preserve">страх</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p>
        </w:tc>
      </w:tr>
      <w:tr>
        <w:tc>
          <w:tcPr>
            <w:tcW w:w="1134" w:type="dxa"/>
          </w:tcPr>
          <w:p>
            <w:pPr>
              <w:pStyle w:val="ConsPlusNormal0"/>
            </w:pPr>
            <w:r>
              <w:t xml:space="preserve">2</w:t>
            </w:r>
          </w:p>
        </w:tc>
        <w:tc>
          <w:tcPr>
            <w:tcW w:w="3515" w:type="dxa"/>
          </w:tcPr>
          <w:p>
            <w:pPr>
              <w:pStyle w:val="ConsPlusNormal0"/>
            </w:pPr>
            <w: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w:t>
            </w:r>
            <w:r>
              <w:t xml:space="preserve">охраны, внешней разведки, мобилизационной подготовки и мобилизации, исполнения наказаний (их подразделениями) (в случаях, предусмотренных </w:t>
            </w:r>
            <w:hyperlink r:id="rId97" w:tooltip="Федеральный закон от 27.07.2010 N 190-ФЗ (ред. от 23.03.2026) &quot;О теплоснабжении&quot; {КонсультантПлюс}">
              <w:r>
                <w:rPr>
                  <w:color w:val="0000ff"/>
                </w:rPr>
                <w:t xml:space="preserve">пунктом 2 части 1 статьи 4.1</w:t>
              </w:r>
            </w:hyperlink>
            <w:r>
              <w:t xml:space="preserve"> Федерального закона</w:t>
            </w:r>
            <w:r>
              <w:t xml:space="preserve"> </w:t>
            </w:r>
            <w:r>
              <w:t xml:space="preserve">о теплоснабжении и </w:t>
            </w:r>
            <w:hyperlink r:id="rId9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 xml:space="preserve">абзацем вторым пункта 2 статьи 5</w:t>
              </w:r>
            </w:hyperlink>
            <w:r>
              <w:t xml:space="preserve"> Федерального закона о промышленной безопасности, об устранении нарушений требований </w:t>
            </w:r>
            <w:hyperlink r:id="rId9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26</w:t>
              </w:r>
            </w:hyperlink>
            <w:r>
              <w:t xml:space="preserve">, </w:t>
            </w:r>
            <w:hyperlink r:id="rId10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32</w:t>
              </w:r>
            </w:hyperlink>
            <w:r>
              <w:t xml:space="preserve">, </w:t>
            </w:r>
            <w:hyperlink r:id="rId10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59</w:t>
              </w:r>
            </w:hyperlink>
            <w:r>
              <w:t xml:space="preserve">,</w:t>
            </w:r>
            <w:r>
              <w:t xml:space="preserve"> </w:t>
            </w:r>
            <w:hyperlink r:id="rId10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60</w:t>
              </w:r>
            </w:hyperlink>
            <w:r>
              <w:t xml:space="preserve">, </w:t>
            </w:r>
            <w:hyperlink r:id="rId10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66</w:t>
              </w:r>
            </w:hyperlink>
            <w:r>
              <w:t xml:space="preserve">, </w:t>
            </w:r>
            <w:hyperlink r:id="rId10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117</w:t>
              </w:r>
            </w:hyperlink>
            <w:r>
              <w:t xml:space="preserve">, </w:t>
            </w:r>
            <w:hyperlink r:id="rId10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абзацев первого</w:t>
              </w:r>
            </w:hyperlink>
            <w:r>
              <w:t xml:space="preserve"> - </w:t>
            </w:r>
            <w:hyperlink r:id="rId10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третьего пункта 125</w:t>
              </w:r>
            </w:hyperlink>
            <w:r>
              <w:t xml:space="preserve">, </w:t>
            </w:r>
            <w:hyperlink r:id="rId10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 первого пункта 155</w:t>
              </w:r>
            </w:hyperlink>
            <w:r>
              <w:t xml:space="preserve">, </w:t>
            </w:r>
            <w:hyperlink r:id="rId10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156</w:t>
              </w:r>
            </w:hyperlink>
            <w:r>
              <w:t xml:space="preserve">, </w:t>
            </w:r>
            <w:hyperlink r:id="rId10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157</w:t>
              </w:r>
            </w:hyperlink>
            <w:r>
              <w:t xml:space="preserve">, </w:t>
            </w:r>
            <w:hyperlink r:id="rId11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169</w:t>
              </w:r>
            </w:hyperlink>
            <w:r>
              <w:t xml:space="preserve">, </w:t>
            </w:r>
            <w:hyperlink r:id="rId11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170</w:t>
              </w:r>
            </w:hyperlink>
            <w:r>
              <w:t xml:space="preserve">, </w:t>
            </w:r>
            <w:hyperlink r:id="rId11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 первого пункта 201</w:t>
              </w:r>
            </w:hyperlink>
            <w:r>
              <w:t xml:space="preserve">, </w:t>
            </w:r>
            <w:hyperlink r:id="rId11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 202</w:t>
              </w:r>
            </w:hyperlink>
            <w:r>
              <w:t xml:space="preserve">, </w:t>
            </w:r>
            <w:hyperlink r:id="rId11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 четвертого пункта 225</w:t>
              </w:r>
            </w:hyperlink>
            <w:r>
              <w:t xml:space="preserve">, </w:t>
            </w:r>
            <w:hyperlink r:id="rId11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249</w:t>
              </w:r>
            </w:hyperlink>
            <w:r>
              <w:t xml:space="preserve">, </w:t>
            </w:r>
            <w:hyperlink r:id="rId11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250</w:t>
              </w:r>
            </w:hyperlink>
            <w:r>
              <w:t xml:space="preserve">, </w:t>
            </w:r>
            <w:hyperlink r:id="rId11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абзацев первого</w:t>
              </w:r>
            </w:hyperlink>
            <w:r>
              <w:t xml:space="preserve"> и </w:t>
            </w:r>
            <w:hyperlink r:id="rId11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второго пункта 251</w:t>
              </w:r>
            </w:hyperlink>
            <w:r>
              <w:t xml:space="preserve">, </w:t>
            </w:r>
            <w:hyperlink r:id="rId11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264</w:t>
              </w:r>
            </w:hyperlink>
            <w:r>
              <w:t xml:space="preserve">, </w:t>
            </w:r>
            <w:hyperlink r:id="rId12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265</w:t>
              </w:r>
            </w:hyperlink>
            <w:r>
              <w:t xml:space="preserve">, </w:t>
            </w:r>
            <w:hyperlink r:id="rId12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306</w:t>
              </w:r>
            </w:hyperlink>
            <w:r>
              <w:t xml:space="preserve">, </w:t>
            </w:r>
            <w:hyperlink r:id="rId12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311</w:t>
              </w:r>
            </w:hyperlink>
            <w:r>
              <w:t xml:space="preserve">, </w:t>
            </w:r>
            <w:hyperlink r:id="rId12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312</w:t>
              </w:r>
            </w:hyperlink>
            <w:r>
              <w:t xml:space="preserve">, </w:t>
            </w:r>
            <w:hyperlink r:id="rId12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315</w:t>
              </w:r>
            </w:hyperlink>
            <w:r>
              <w:t xml:space="preserve"> - </w:t>
            </w:r>
            <w:hyperlink r:id="rId12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319</w:t>
              </w:r>
            </w:hyperlink>
            <w:r>
              <w:t xml:space="preserve">, </w:t>
            </w:r>
            <w:hyperlink r:id="rId12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 восьмого пункта 333</w:t>
              </w:r>
            </w:hyperlink>
            <w:r>
              <w:t xml:space="preserve">, </w:t>
            </w:r>
            <w:hyperlink r:id="rId12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348</w:t>
              </w:r>
            </w:hyperlink>
            <w:r>
              <w:t xml:space="preserve"> - </w:t>
            </w:r>
            <w:hyperlink r:id="rId12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350</w:t>
              </w:r>
            </w:hyperlink>
            <w:r>
              <w:t xml:space="preserve">, </w:t>
            </w:r>
            <w:hyperlink r:id="rId12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352</w:t>
              </w:r>
            </w:hyperlink>
            <w:r>
              <w:t xml:space="preserve">, </w:t>
            </w:r>
            <w:hyperlink r:id="rId13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355</w:t>
              </w:r>
            </w:hyperlink>
            <w:r>
              <w:t xml:space="preserve">, </w:t>
            </w:r>
            <w:hyperlink r:id="rId13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356</w:t>
              </w:r>
            </w:hyperlink>
            <w:r>
              <w:t xml:space="preserve">, </w:t>
            </w:r>
            <w:hyperlink r:id="rId13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359</w:t>
              </w:r>
            </w:hyperlink>
            <w:r>
              <w:t xml:space="preserve">, </w:t>
            </w:r>
            <w:hyperlink r:id="rId13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375</w:t>
              </w:r>
            </w:hyperlink>
            <w:r>
              <w:t xml:space="preserve">, </w:t>
            </w:r>
            <w:hyperlink r:id="rId13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абзацев четвертого</w:t>
              </w:r>
            </w:hyperlink>
            <w:r>
              <w:t xml:space="preserve"> и </w:t>
            </w:r>
            <w:hyperlink r:id="rId13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пятого пункта 378</w:t>
              </w:r>
            </w:hyperlink>
            <w:r>
              <w:t xml:space="preserve">, </w:t>
            </w:r>
            <w:hyperlink r:id="rId13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 388</w:t>
              </w:r>
            </w:hyperlink>
            <w:r>
              <w:t xml:space="preserve">, </w:t>
            </w:r>
            <w:hyperlink r:id="rId13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абзацев второго</w:t>
              </w:r>
            </w:hyperlink>
            <w:r>
              <w:t xml:space="preserve"> - </w:t>
            </w:r>
            <w:hyperlink r:id="rId13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четвертого</w:t>
              </w:r>
            </w:hyperlink>
            <w:r>
              <w:t xml:space="preserve">, </w:t>
            </w:r>
            <w:hyperlink r:id="rId13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шестого</w:t>
              </w:r>
            </w:hyperlink>
            <w:r>
              <w:t xml:space="preserve"> - </w:t>
            </w:r>
            <w:hyperlink r:id="rId14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восьмого</w:t>
              </w:r>
            </w:hyperlink>
            <w:r>
              <w:t xml:space="preserve"> и </w:t>
            </w:r>
            <w:hyperlink r:id="rId14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десятого пункта 404</w:t>
              </w:r>
            </w:hyperlink>
            <w:r>
              <w:t xml:space="preserve">, </w:t>
            </w:r>
            <w:hyperlink r:id="rId14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408</w:t>
              </w:r>
            </w:hyperlink>
            <w:r>
              <w:t xml:space="preserve">, </w:t>
            </w:r>
            <w:hyperlink r:id="rId14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412</w:t>
              </w:r>
            </w:hyperlink>
            <w:r>
              <w:t xml:space="preserve"> Правил N 511 и </w:t>
            </w:r>
            <w:hyperlink r:id="rId14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пунктов 394</w:t>
              </w:r>
            </w:hyperlink>
            <w:r>
              <w:t xml:space="preserve">, </w:t>
            </w:r>
            <w:hyperlink r:id="rId14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396</w:t>
              </w:r>
            </w:hyperlink>
            <w:r>
              <w:t xml:space="preserve"> - </w:t>
            </w:r>
            <w:hyperlink r:id="rId14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399</w:t>
              </w:r>
            </w:hyperlink>
            <w:r>
              <w:t xml:space="preserve">, </w:t>
            </w:r>
            <w:hyperlink r:id="rId147"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403</w:t>
              </w:r>
            </w:hyperlink>
            <w:r>
              <w:t xml:space="preserve"> Правил промышленной безопасности (</w:t>
            </w:r>
            <w:hyperlink w:tooltip="9.2. Обеспечить выполнение предписаний, содержащих требования об устранении нарушений требований пунктов 26, 32, 59, 60, 66, 117, абзацев первого - третьего пункта 125, абзаца первого пункта 155, пунктов 156, 157, 169, 170, абзаца первого пункта 201, пункта 20" w:anchor="P92">
              <w:r>
                <w:rPr>
                  <w:color w:val="0000ff"/>
                </w:rPr>
                <w:t xml:space="preserve">подпункт 9.2 пункта 9</w:t>
              </w:r>
            </w:hyperlink>
            <w:r>
              <w:t xml:space="preserve"> Правил)</w:t>
            </w:r>
          </w:p>
        </w:tc>
        <w:tc>
          <w:tcPr>
            <w:tcW w:w="3685" w:type="dxa"/>
          </w:tcPr>
          <w:p>
            <w:pPr>
              <w:pStyle w:val="ConsPlusNormal0"/>
            </w:pPr>
            <w:r>
              <w:t xml:space="preserve">Справка об отсутствии невыполненных в установленные сроки предписаний об устранении нарушений требований </w:t>
            </w:r>
            <w:hyperlink r:id="rId14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26</w:t>
              </w:r>
            </w:hyperlink>
            <w:r>
              <w:t xml:space="preserve">, </w:t>
            </w:r>
            <w:hyperlink r:id="rId14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32</w:t>
              </w:r>
            </w:hyperlink>
            <w:r>
              <w:t xml:space="preserve">, </w:t>
            </w:r>
            <w:hyperlink r:id="rId15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59</w:t>
              </w:r>
            </w:hyperlink>
            <w:r>
              <w:t xml:space="preserve">, </w:t>
            </w:r>
            <w:hyperlink r:id="rId15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60</w:t>
              </w:r>
            </w:hyperlink>
            <w:r>
              <w:t xml:space="preserve">,</w:t>
            </w:r>
            <w:r>
              <w:t xml:space="preserve"> </w:t>
            </w:r>
            <w:hyperlink r:id="rId15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66</w:t>
              </w:r>
            </w:hyperlink>
            <w:r>
              <w:t xml:space="preserve">, </w:t>
            </w:r>
            <w:hyperlink r:id="rId15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117</w:t>
              </w:r>
            </w:hyperlink>
            <w:r>
              <w:t xml:space="preserve">, </w:t>
            </w:r>
            <w:hyperlink r:id="rId15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абзацев первого</w:t>
              </w:r>
            </w:hyperlink>
            <w:r>
              <w:t xml:space="preserve"> - </w:t>
            </w:r>
            <w:hyperlink r:id="rId15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третьего пункта 125</w:t>
              </w:r>
            </w:hyperlink>
            <w:r>
              <w:t xml:space="preserve">, </w:t>
            </w:r>
            <w:hyperlink r:id="rId15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 первого пункта 155</w:t>
              </w:r>
            </w:hyperlink>
            <w:r>
              <w:t xml:space="preserve">, </w:t>
            </w:r>
            <w:hyperlink r:id="rId15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156</w:t>
              </w:r>
            </w:hyperlink>
            <w:r>
              <w:t xml:space="preserve">, </w:t>
            </w:r>
            <w:hyperlink r:id="rId15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157</w:t>
              </w:r>
            </w:hyperlink>
            <w:r>
              <w:t xml:space="preserve">, </w:t>
            </w:r>
            <w:hyperlink r:id="rId15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169</w:t>
              </w:r>
            </w:hyperlink>
            <w:r>
              <w:t xml:space="preserve">, </w:t>
            </w:r>
            <w:hyperlink r:id="rId16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170</w:t>
              </w:r>
            </w:hyperlink>
            <w:r>
              <w:t xml:space="preserve">, </w:t>
            </w:r>
            <w:hyperlink r:id="rId16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 первого пункта 201</w:t>
              </w:r>
            </w:hyperlink>
            <w:r>
              <w:t xml:space="preserve">, </w:t>
            </w:r>
            <w:hyperlink r:id="rId16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 202</w:t>
              </w:r>
            </w:hyperlink>
            <w:r>
              <w:t xml:space="preserve">, </w:t>
            </w:r>
            <w:hyperlink r:id="rId16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 четвертого пункта 225</w:t>
              </w:r>
            </w:hyperlink>
            <w:r>
              <w:t xml:space="preserve">, </w:t>
            </w:r>
            <w:hyperlink r:id="rId16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249</w:t>
              </w:r>
            </w:hyperlink>
            <w:r>
              <w:t xml:space="preserve">, </w:t>
            </w:r>
            <w:hyperlink r:id="rId16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250</w:t>
              </w:r>
            </w:hyperlink>
            <w:r>
              <w:t xml:space="preserve">, </w:t>
            </w:r>
            <w:hyperlink r:id="rId16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абзацев первого</w:t>
              </w:r>
            </w:hyperlink>
            <w:r>
              <w:t xml:space="preserve"> и </w:t>
            </w:r>
            <w:hyperlink r:id="rId16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второго пункта 251</w:t>
              </w:r>
            </w:hyperlink>
            <w:r>
              <w:t xml:space="preserve">, </w:t>
            </w:r>
            <w:hyperlink r:id="rId16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264</w:t>
              </w:r>
            </w:hyperlink>
            <w:r>
              <w:t xml:space="preserve">, </w:t>
            </w:r>
            <w:hyperlink r:id="rId16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265</w:t>
              </w:r>
            </w:hyperlink>
            <w:r>
              <w:t xml:space="preserve">, </w:t>
            </w:r>
            <w:hyperlink r:id="rId17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306</w:t>
              </w:r>
            </w:hyperlink>
            <w:r>
              <w:t xml:space="preserve">, </w:t>
            </w:r>
            <w:hyperlink r:id="rId17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311</w:t>
              </w:r>
            </w:hyperlink>
            <w:r>
              <w:t xml:space="preserve">, </w:t>
            </w:r>
            <w:hyperlink r:id="rId17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312</w:t>
              </w:r>
            </w:hyperlink>
            <w:r>
              <w:t xml:space="preserve">, </w:t>
            </w:r>
            <w:hyperlink r:id="rId17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315</w:t>
              </w:r>
            </w:hyperlink>
            <w:r>
              <w:t xml:space="preserve"> - </w:t>
            </w:r>
            <w:hyperlink r:id="rId17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319</w:t>
              </w:r>
            </w:hyperlink>
            <w:r>
              <w:t xml:space="preserve">, </w:t>
            </w:r>
            <w:hyperlink r:id="rId17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абзаца восьмого пункта 333</w:t>
              </w:r>
            </w:hyperlink>
            <w:r>
              <w:t xml:space="preserve">, </w:t>
            </w:r>
            <w:hyperlink r:id="rId17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348</w:t>
              </w:r>
            </w:hyperlink>
            <w:r>
              <w:t xml:space="preserve"> - </w:t>
            </w:r>
            <w:hyperlink r:id="rId17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350</w:t>
              </w:r>
            </w:hyperlink>
            <w:r>
              <w:t xml:space="preserve">,</w:t>
            </w:r>
            <w:r>
              <w:t xml:space="preserve"> </w:t>
            </w:r>
            <w:hyperlink r:id="rId17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352</w:t>
              </w:r>
            </w:hyperlink>
            <w:r>
              <w:t xml:space="preserve">, </w:t>
            </w:r>
            <w:hyperlink r:id="rId17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355</w:t>
              </w:r>
            </w:hyperlink>
            <w:r>
              <w:t xml:space="preserve">, </w:t>
            </w:r>
            <w:hyperlink r:id="rId18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356</w:t>
              </w:r>
            </w:hyperlink>
            <w:r>
              <w:t xml:space="preserve">, </w:t>
            </w:r>
            <w:hyperlink r:id="rId18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359</w:t>
              </w:r>
            </w:hyperlink>
            <w:r>
              <w:t xml:space="preserve">, </w:t>
            </w:r>
            <w:hyperlink r:id="rId18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375</w:t>
              </w:r>
            </w:hyperlink>
            <w:r>
              <w:t xml:space="preserve">, </w:t>
            </w:r>
            <w:hyperlink r:id="rId183"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абзацев четвертого</w:t>
              </w:r>
            </w:hyperlink>
            <w:r>
              <w:t xml:space="preserve"> и </w:t>
            </w:r>
            <w:hyperlink r:id="rId184"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пятого пункта 378</w:t>
              </w:r>
            </w:hyperlink>
            <w:r>
              <w:t xml:space="preserve">, </w:t>
            </w:r>
            <w:hyperlink r:id="rId185"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пункта 388</w:t>
              </w:r>
            </w:hyperlink>
            <w:r>
              <w:t xml:space="preserve">, </w:t>
            </w:r>
            <w:hyperlink r:id="rId186"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абзацев второго</w:t>
              </w:r>
            </w:hyperlink>
            <w:r>
              <w:t xml:space="preserve"> - </w:t>
            </w:r>
            <w:hyperlink r:id="rId187"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четвертого</w:t>
              </w:r>
            </w:hyperlink>
            <w:r>
              <w:t xml:space="preserve">, </w:t>
            </w:r>
            <w:hyperlink r:id="rId188"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шестого</w:t>
              </w:r>
            </w:hyperlink>
            <w:r>
              <w:t xml:space="preserve"> - </w:t>
            </w:r>
            <w:hyperlink r:id="rId189"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восьмого</w:t>
              </w:r>
            </w:hyperlink>
            <w:r>
              <w:t xml:space="preserve"> и </w:t>
            </w:r>
            <w:hyperlink r:id="rId190"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десятого пункта 404</w:t>
              </w:r>
            </w:hyperlink>
            <w:r>
              <w:t xml:space="preserve">, </w:t>
            </w:r>
            <w:hyperlink r:id="rId191"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пунктов 408</w:t>
              </w:r>
            </w:hyperlink>
            <w:r>
              <w:t xml:space="preserve">, </w:t>
            </w:r>
            <w:hyperlink r:id="rId192" w:tooltip="Приказ Минэнерго России от 14.05.2025 N 511 &quot;Об утверждении Правил технической эксплуатации объектов теплоснабжения и теплопотребляющих установок&quot; (Зарегистрировано в Минюсте России 02.06.2025 N 82505) {КонсультантПлюс}">
              <w:r>
                <w:rPr>
                  <w:color w:val="0000ff"/>
                </w:rPr>
                <w:t xml:space="preserve">412</w:t>
              </w:r>
            </w:hyperlink>
            <w:r>
              <w:t xml:space="preserve"> Правил N 511 и </w:t>
            </w:r>
            <w:hyperlink r:id="rId193"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пунктов 394</w:t>
              </w:r>
            </w:hyperlink>
            <w:r>
              <w:t xml:space="preserve">, </w:t>
            </w:r>
            <w:hyperlink r:id="rId194"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396</w:t>
              </w:r>
            </w:hyperlink>
            <w:r>
              <w:t xml:space="preserve"> - </w:t>
            </w:r>
            <w:hyperlink r:id="rId195"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399</w:t>
              </w:r>
            </w:hyperlink>
            <w:r>
              <w:t xml:space="preserve">, </w:t>
            </w:r>
            <w:hyperlink r:id="rId196"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
              <w:r>
                <w:rPr>
                  <w:color w:val="0000ff"/>
                </w:rPr>
                <w:t xml:space="preserve">403</w:t>
              </w:r>
            </w:hyperlink>
            <w: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w:t>
            </w:r>
            <w:r>
              <w:t xml:space="preserve">(их подразделениями) (в случаях, предусмотренных </w:t>
            </w:r>
            <w:hyperlink r:id="rId197" w:tooltip="Федеральный закон от 27.07.2010 N 190-ФЗ (ред. от 23.03.2026) &quot;О теплоснабжении&quot; {КонсультантПлюс}">
              <w:r>
                <w:rPr>
                  <w:color w:val="0000ff"/>
                </w:rPr>
                <w:t xml:space="preserve">пунктом 2 части 1 статьи 4.1</w:t>
              </w:r>
            </w:hyperlink>
            <w:r>
              <w:t xml:space="preserve"> Федерального закона о теплоснабжении и </w:t>
            </w:r>
            <w:hyperlink r:id="rId19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 xml:space="preserve">абзацем вторым пункта 2 статьи 5</w:t>
              </w:r>
            </w:hyperlink>
            <w:r>
              <w:t xml:space="preserve"> Федерального закона о промышленной безопасности)</w:t>
            </w:r>
          </w:p>
          <w:p>
            <w:pPr>
              <w:pStyle w:val="ConsPlusNormal0"/>
            </w:pPr>
            <w:r>
              <w:t xml:space="preserve">(</w:t>
            </w:r>
            <w:hyperlink w:tooltip="9.2. Обеспечить выполнение предписаний, содержащих требования об устранении нарушений требований пунктов 26, 32, 59, 60, 66, 117, абзацев первого - третьего пункта 125, абзаца первого пункта 155, пунктов 156, 157, 169, 170, абзаца первого пункта 201, пункта 20" w:anchor="P92">
              <w:r>
                <w:rPr>
                  <w:color w:val="0000ff"/>
                </w:rPr>
                <w:t xml:space="preserve">подпункт 9.2 пункта 9</w:t>
              </w:r>
            </w:hyperlink>
            <w:r>
              <w:t xml:space="preserve"> Правил)</w:t>
            </w:r>
          </w:p>
        </w:tc>
        <w:tc>
          <w:tcPr>
            <w:tcW w:w="2721" w:type="dxa"/>
          </w:tcPr>
          <w:p>
            <w:pPr>
              <w:pStyle w:val="ConsPlusNormal0"/>
            </w:pPr>
            <w:r>
              <w:t xml:space="preserve">Показатель выполнения предписаний, влияющих на надежность работы в отопительный период</w:t>
            </w:r>
          </w:p>
        </w:tc>
        <w:tc>
          <w:tcPr>
            <w:tcW w:w="907" w:type="dxa"/>
          </w:tcPr>
          <w:p>
            <w:pPr>
              <w:pStyle w:val="ConsPlusNormal0"/>
            </w:pPr>
            <w:r>
              <w:t xml:space="preserve">0,1</w:t>
            </w:r>
          </w:p>
        </w:tc>
        <w:tc>
          <w:tcPr>
            <w:tcW w:w="1701" w:type="dxa"/>
          </w:tcPr>
          <w:p>
            <w:pPr>
              <w:pStyle w:val="ConsPlusNormal0"/>
            </w:pPr>
            <w:r>
              <w:t xml:space="preserve">К</w:t>
            </w:r>
            <w:r>
              <w:rPr>
                <w:vertAlign w:val="subscript"/>
              </w:rPr>
              <w:t xml:space="preserve">предп</w:t>
            </w:r>
          </w:p>
        </w:tc>
        <w:tc>
          <w:tcPr>
            <w:tcW w:w="2800" w:type="dxa"/>
          </w:tcPr>
          <w:p>
            <w:pPr>
              <w:pStyle w:val="ConsPlusNormal0"/>
            </w:pPr>
            <w:r>
              <w:t xml:space="preserve">Наличие - 1</w:t>
            </w:r>
          </w:p>
          <w:p>
            <w:pPr>
              <w:pStyle w:val="ConsPlusNormal0"/>
            </w:pPr>
            <w:r>
              <w:t xml:space="preserve">Отсутствие - 0</w:t>
            </w:r>
          </w:p>
        </w:tc>
        <w:tc>
          <w:tcPr>
            <w:tcW w:w="1077" w:type="dxa"/>
          </w:tcPr>
          <w:p>
            <w:pPr>
              <w:pStyle w:val="ConsPlusNormal0"/>
            </w:pPr>
          </w:p>
        </w:tc>
        <w:tc>
          <w:tcPr>
            <w:tcW w:w="1474" w:type="dxa"/>
          </w:tcPr>
          <w:p>
            <w:pPr>
              <w:pStyle w:val="ConsPlusNormal0"/>
            </w:pPr>
            <w:r>
              <w:t xml:space="preserve">Не заполняется</w:t>
            </w:r>
          </w:p>
        </w:tc>
      </w:tr>
    </w:tbl>
    <w:p>
      <w:pPr>
        <w:pStyle w:val="ConsPlusNormal0"/>
        <w:ind w:firstLine="540"/>
        <w:jc w:val="both"/>
      </w:pPr>
    </w:p>
    <w:p>
      <w:pPr>
        <w:pStyle w:val="ConsPlusNormal0"/>
        <w:rPr>
          <w:sz w:val="2"/>
          <w:szCs w:val="2"/>
        </w:rPr>
      </w:pPr>
    </w:p>
    <w:sectPr>
      <w:headerReference w:type="default" r:id="rId11"/>
      <w:headerReference w:type="first" r:id="rId12"/>
      <w:footerReference w:type="default" r:id="rId16"/>
      <w:footerReference w:type="first" r:id="rId17"/>
      <w:pgSz w:w="16838" w:h="11906" w:orient="landscape"/>
      <w:pgMar w:top="1133" w:right="397" w:bottom="566" w:left="397" w:header="0" w:footer="0" w:gutter="0"/>
      <w:cols w:space="720"/>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ahoma">
    <w:panose1 w:val="020B0606030504020204"/>
  </w:font>
  <w:font w:name="Arial">
    <w:panose1 w:val="020B0604020202020204"/>
  </w:font>
  <w:font w:name="Courier New">
    <w:panose1 w:val="020704090202050204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ConsPlusNormal0"/>
      <w:pBdr>
        <w:bottom w:val="single" w:color="auto" w:sz="12" w:space="0"/>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trPr>
        <w:trHeight w:val="1663" w:hRule="exact"/>
      </w:trPr>
      <w:tc>
        <w:tcPr>
          <w:tcW w:w="1650" w:type="pct"/>
          <w:vAlign w:val="center"/>
        </w:tcPr>
        <w:p>
          <w:pPr>
            <w:pStyle w:val="ConsPlusNormal0"/>
          </w:pPr>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pStyle w:val="ConsPlusNormal0"/>
            <w:jc w:val="center"/>
          </w:pPr>
          <w:hyperlink r:id="rId1">
            <w:r>
              <w:rPr>
                <w:rFonts w:ascii="Tahoma" w:hAnsi="Tahoma" w:cs="Tahoma"/>
                <w:b/>
                <w:color w:val="0000ff"/>
              </w:rPr>
              <w:t xml:space="preserve">www.consultant.ru</w:t>
            </w:r>
          </w:hyperlink>
        </w:p>
      </w:tc>
      <w:tc>
        <w:tcPr>
          <w:tcW w:w="1650" w:type="pct"/>
          <w:vAlign w:val="center"/>
        </w:tcPr>
        <w:p>
          <w:pPr>
            <w:pStyle w:val="ConsPlusNormal0"/>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26</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157</w:t>
          </w:r>
          <w:r>
            <w:fldChar w:fldCharType="end"/>
          </w:r>
        </w:p>
      </w:tc>
    </w:tr>
  </w:tbl>
  <w:p>
    <w:pPr>
      <w:pStyle w:val="ConsPlusNormal0"/>
    </w:pPr>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ConsPlusNormal0"/>
    </w:pPr>
    <w:r>
      <w:rPr>
        <w:sz w:val="2"/>
        <w:szCs w:val="2"/>
      </w:rPr>
      <w:t xml:space="preserve">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ConsPlusNormal0"/>
      <w:pBdr>
        <w:bottom w:val="single" w:color="auto" w:sz="12" w:space="0"/>
      </w:pBdr>
      <w:rPr>
        <w:sz w:val="2"/>
        <w:szCs w:val="2"/>
      </w:rPr>
    </w:pPr>
  </w:p>
  <w:p>
    <w:pPr>
      <w:pStyle w:val="ConsPlusNormal0"/>
    </w:pPr>
    <w:r>
      <w:rPr>
        <w:sz w:val="2"/>
        <w:szCs w:val="2"/>
      </w:rPr>
      <w:t xml:space="preserve">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5"/>
      <w:gridCol w:w="4732"/>
    </w:tblGrid>
    <w:tr>
      <w:trPr>
        <w:trHeight w:val="1683" w:hRule="exact"/>
      </w:trPr>
      <w:tc>
        <w:tcPr>
          <w:tcW w:w="2700" w:type="pct"/>
          <w:vAlign w:val="center"/>
        </w:tcPr>
        <w:p>
          <w:pPr>
            <w:pStyle w:val="ConsPlusNormal0"/>
            <w:rPr>
              <w:rFonts w:ascii="Tahoma" w:hAnsi="Tahoma" w:cs="Tahoma"/>
            </w:rPr>
          </w:pPr>
          <w:r>
            <w:rPr>
              <w:rFonts w:ascii="Tahoma" w:hAnsi="Tahoma" w:cs="Tahoma"/>
              <w:sz w:val="16"/>
              <w:szCs w:val="16"/>
            </w:rPr>
            <w:t xml:space="preserve">Приказ Минэнерго России от 13.11.2024 N 2234</w:t>
          </w:r>
          <w:r>
            <w:rPr>
              <w:rFonts w:ascii="Tahoma" w:hAnsi="Tahoma" w:cs="Tahoma"/>
              <w:sz w:val="16"/>
              <w:szCs w:val="16"/>
            </w:rPr>
            <w:br/>
            <w:t xml:space="preserve">"Об утверждении Правил обеспечения готовности к отопительному периоду и Пор...</w:t>
          </w:r>
        </w:p>
      </w:tc>
      <w:tc>
        <w:tcPr>
          <w:tcW w:w="2300" w:type="pct"/>
          <w:vAlign w:val="center"/>
        </w:tcPr>
        <w:p>
          <w:pPr>
            <w:pStyle w:val="ConsPlusNormal0"/>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07.07.2025</w:t>
          </w:r>
        </w:p>
      </w:tc>
    </w:tr>
  </w:tbl>
  <w:p>
    <w:pPr>
      <w:pStyle w:val="ConsPlusNormal0"/>
      <w:pBdr>
        <w:bottom w:val="single" w:color="auto" w:sz="12" w:space="0"/>
      </w:pBdr>
      <w:rPr>
        <w:sz w:val="2"/>
        <w:szCs w:val="2"/>
      </w:rPr>
    </w:pPr>
  </w:p>
  <w:p>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EastAsia"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paragraph" w:styleId="ConsPlusNormal" w:customStyle="1">
    <w:name w:val="ConsPlusNormal"/>
    <w:pPr>
      <w:widowControl w:val="off"/>
    </w:pPr>
    <w:rPr>
      <w:rFonts w:ascii="Times New Roman" w:hAnsi="Times New Roman" w:cs="Times New Roman"/>
      <w:sz w:val="24"/>
    </w:rPr>
  </w:style>
  <w:style w:type="paragraph" w:styleId="ConsPlusNonformat" w:customStyle="1">
    <w:name w:val="ConsPlusNonformat"/>
    <w:pPr>
      <w:widowControl w:val="off"/>
    </w:pPr>
    <w:rPr>
      <w:rFonts w:ascii="Courier New" w:hAnsi="Courier New" w:cs="Courier New"/>
      <w:sz w:val="20"/>
    </w:rPr>
  </w:style>
  <w:style w:type="paragraph" w:styleId="ConsPlusTitle" w:customStyle="1">
    <w:name w:val="ConsPlusTitle"/>
    <w:pPr>
      <w:widowControl w:val="off"/>
    </w:pPr>
    <w:rPr>
      <w:rFonts w:ascii="Arial" w:hAnsi="Arial" w:cs="Arial"/>
      <w:b/>
      <w:sz w:val="24"/>
    </w:rPr>
  </w:style>
  <w:style w:type="paragraph" w:styleId="ConsPlusCell" w:customStyle="1">
    <w:name w:val="ConsPlusCell"/>
    <w:pPr>
      <w:widowControl w:val="off"/>
    </w:pPr>
    <w:rPr>
      <w:rFonts w:ascii="Courier New" w:hAnsi="Courier New" w:cs="Courier New"/>
      <w:sz w:val="20"/>
    </w:rPr>
  </w:style>
  <w:style w:type="paragraph" w:styleId="ConsPlusDocList" w:customStyle="1">
    <w:name w:val="ConsPlusDocList"/>
    <w:pPr>
      <w:widowControl w:val="off"/>
    </w:pPr>
    <w:rPr>
      <w:rFonts w:ascii="Tahoma" w:hAnsi="Tahoma" w:cs="Tahoma"/>
      <w:sz w:val="18"/>
    </w:rPr>
  </w:style>
  <w:style w:type="paragraph" w:styleId="ConsPlusTitlePage" w:customStyle="1">
    <w:name w:val="ConsPlusTitlePage"/>
    <w:pPr>
      <w:widowControl w:val="off"/>
    </w:pPr>
    <w:rPr>
      <w:rFonts w:ascii="Tahoma" w:hAnsi="Tahoma" w:cs="Tahoma"/>
      <w:sz w:val="20"/>
    </w:rPr>
  </w:style>
  <w:style w:type="paragraph" w:styleId="ConsPlusJurTerm" w:customStyle="1">
    <w:name w:val="ConsPlusJurTerm"/>
    <w:pPr>
      <w:widowControl w:val="off"/>
    </w:pPr>
    <w:rPr>
      <w:rFonts w:ascii="Tahoma" w:hAnsi="Tahoma" w:cs="Tahoma"/>
      <w:sz w:val="26"/>
    </w:rPr>
  </w:style>
  <w:style w:type="paragraph" w:styleId="ConsPlusTextList" w:customStyle="1">
    <w:name w:val="ConsPlusTextList"/>
    <w:pPr>
      <w:widowControl w:val="off"/>
    </w:pPr>
    <w:rPr>
      <w:rFonts w:ascii="Times New Roman" w:hAnsi="Times New Roman" w:cs="Times New Roman"/>
      <w:sz w:val="24"/>
    </w:rPr>
  </w:style>
  <w:style w:type="paragraph" w:styleId="ConsPlusTextList0" w:customStyle="1">
    <w:name w:val="ConsPlusTextList"/>
    <w:pPr>
      <w:widowControl w:val="off"/>
    </w:pPr>
    <w:rPr>
      <w:rFonts w:ascii="Times New Roman" w:hAnsi="Times New Roman" w:cs="Times New Roman"/>
      <w:sz w:val="24"/>
    </w:rPr>
  </w:style>
  <w:style w:type="paragraph" w:styleId="ConsPlusNormal0" w:customStyle="1">
    <w:name w:val="ConsPlusNormal"/>
    <w:pPr>
      <w:widowControl w:val="off"/>
    </w:pPr>
    <w:rPr>
      <w:rFonts w:ascii="Times New Roman" w:hAnsi="Times New Roman" w:cs="Times New Roman"/>
      <w:sz w:val="24"/>
    </w:rPr>
  </w:style>
  <w:style w:type="paragraph" w:styleId="ConsPlusNonformat0" w:customStyle="1">
    <w:name w:val="ConsPlusNonformat"/>
    <w:pPr>
      <w:widowControl w:val="off"/>
    </w:pPr>
    <w:rPr>
      <w:rFonts w:ascii="Courier New" w:hAnsi="Courier New" w:cs="Courier New"/>
      <w:sz w:val="20"/>
    </w:rPr>
  </w:style>
  <w:style w:type="paragraph" w:styleId="ConsPlusTitle0" w:customStyle="1">
    <w:name w:val="ConsPlusTitle"/>
    <w:pPr>
      <w:widowControl w:val="off"/>
    </w:pPr>
    <w:rPr>
      <w:rFonts w:ascii="Arial" w:hAnsi="Arial" w:cs="Arial"/>
      <w:b/>
      <w:sz w:val="24"/>
    </w:rPr>
  </w:style>
  <w:style w:type="paragraph" w:styleId="ConsPlusCell0" w:customStyle="1">
    <w:name w:val="ConsPlusCell"/>
    <w:pPr>
      <w:widowControl w:val="off"/>
    </w:pPr>
    <w:rPr>
      <w:rFonts w:ascii="Courier New" w:hAnsi="Courier New" w:cs="Courier New"/>
      <w:sz w:val="20"/>
    </w:rPr>
  </w:style>
  <w:style w:type="paragraph" w:styleId="ConsPlusDocList0" w:customStyle="1">
    <w:name w:val="ConsPlusDocList"/>
    <w:pPr>
      <w:widowControl w:val="off"/>
    </w:pPr>
    <w:rPr>
      <w:rFonts w:ascii="Tahoma" w:hAnsi="Tahoma" w:cs="Tahoma"/>
      <w:sz w:val="18"/>
    </w:rPr>
  </w:style>
  <w:style w:type="paragraph" w:styleId="ConsPlusTitlePage0" w:customStyle="1">
    <w:name w:val="ConsPlusTitlePage"/>
    <w:pPr>
      <w:widowControl w:val="off"/>
    </w:pPr>
    <w:rPr>
      <w:rFonts w:ascii="Tahoma" w:hAnsi="Tahoma" w:cs="Tahoma"/>
      <w:sz w:val="20"/>
    </w:rPr>
  </w:style>
  <w:style w:type="paragraph" w:styleId="ConsPlusJurTerm0" w:customStyle="1">
    <w:name w:val="ConsPlusJurTerm"/>
    <w:pPr>
      <w:widowControl w:val="off"/>
    </w:pPr>
    <w:rPr>
      <w:rFonts w:ascii="Tahoma" w:hAnsi="Tahoma" w:cs="Tahoma"/>
      <w:sz w:val="26"/>
    </w:rPr>
  </w:style>
  <w:style w:type="paragraph" w:styleId="ConsPlusTextList1" w:customStyle="1">
    <w:name w:val="ConsPlusTextList"/>
    <w:pPr>
      <w:widowControl w:val="off"/>
    </w:pPr>
    <w:rPr>
      <w:rFonts w:ascii="Times New Roman" w:hAnsi="Times New Roman" w:cs="Times New Roman"/>
      <w:sz w:val="24"/>
    </w:rPr>
  </w:style>
  <w:style w:type="paragraph" w:styleId="ConsPlusTextList2" w:customStyle="1">
    <w:name w:val="ConsPlusTextList"/>
    <w:pPr>
      <w:widowControl w:val="off"/>
    </w:pPr>
    <w:rPr>
      <w:rFonts w:ascii="Times New Roman" w:hAnsi="Times New Roman" w:cs="Times New Roman"/>
      <w:sz w:val="24"/>
    </w:rPr>
  </w:style>
  <w:style w:type="paragraph" w:styleId="a3">
    <w:name w:val="Balloon Text"/>
    <w:basedOn w:val="a"/>
    <w:link w:val="a4"/>
    <w:uiPriority w:val="99"/>
    <w:semiHidden/>
    <w:unhideWhenUsed/>
    <w:rPr>
      <w:rFonts w:ascii="Tahoma" w:hAnsi="Tahoma" w:cs="Tahoma"/>
      <w:sz w:val="16"/>
      <w:szCs w:val="16"/>
    </w:rPr>
  </w:style>
  <w:style w:type="character" w:styleId="a4" w:customStyle="1">
    <w:name w:val="Текст выноски Знак"/>
    <w:basedOn w:val="a0"/>
    <w:link w:val="a3"/>
    <w:uiPriority w:val="99"/>
    <w:semiHidden/>
    <w:rPr>
      <w:rFonts w:ascii="Tahoma" w:hAnsi="Tahoma" w:cs="Tahoma"/>
      <w:sz w:val="16"/>
      <w:szCs w:val="16"/>
    </w:rPr>
  </w:style>
  <w:style w:type="paragraph" w:styleId="a5">
    <w:name w:val="header"/>
    <w:basedOn w:val="a"/>
    <w:link w:val="a6"/>
    <w:uiPriority w:val="99"/>
    <w:unhideWhenUsed/>
    <w:pPr>
      <w:tabs>
        <w:tab w:val="center" w:pos="4677"/>
        <w:tab w:val="right" w:pos="9355"/>
      </w:tabs>
    </w:pPr>
  </w:style>
  <w:style w:type="character" w:styleId="a6" w:customStyle="1">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pPr>
  </w:style>
  <w:style w:type="character" w:styleId="a8" w:customStyle="1">
    <w:name w:val="Нижний колонтитул Знак"/>
    <w:basedOn w:val="a0"/>
    <w:link w:val="a7"/>
    <w:uiPriority w:val="99"/>
  </w:style>
  <w:style w:type="paragraph" w:styleId="a9">
    <w:name w:val="No Spacing"/>
    <w:uiPriority w:val="1"/>
    <w:qFormat/>
    <w:rPr>
      <w:rFonts w:ascii="Calibri" w:hAnsi="Calibri" w:eastAsia="Calibri" w:cs="Times New Roman"/>
      <w:lang w:eastAsia="en-US"/>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yperlink" Target="https://login.consultant.ru/link/?req=doc&amp;base=LAW&amp;n=483239&amp;date=07.07.2025&amp;dst=527&amp;field=134" TargetMode="External"/><Relationship Id="rId19" Type="http://schemas.openxmlformats.org/officeDocument/2006/relationships/hyperlink" Target="https://login.consultant.ru/link/?req=doc&amp;base=LAW&amp;n=483239&amp;date=07.07.2025" TargetMode="External"/><Relationship Id="rId20" Type="http://schemas.openxmlformats.org/officeDocument/2006/relationships/hyperlink" Target="https://login.consultant.ru/link/?req=doc&amp;base=LAW&amp;n=483239&amp;date=07.07.2025&amp;dst=528&amp;field=134" TargetMode="External"/><Relationship Id="rId21" Type="http://schemas.openxmlformats.org/officeDocument/2006/relationships/hyperlink" Target="https://login.consultant.ru/link/?req=doc&amp;base=LAW&amp;n=483239&amp;date=07.07.2025&amp;dst=100360&amp;field=134" TargetMode="External"/><Relationship Id="rId22" Type="http://schemas.openxmlformats.org/officeDocument/2006/relationships/hyperlink" Target="https://login.consultant.ru/link/?req=doc&amp;base=LAW&amp;n=483239&amp;date=07.07.2025&amp;dst=529&amp;field=134" TargetMode="External"/><Relationship Id="rId23" Type="http://schemas.openxmlformats.org/officeDocument/2006/relationships/hyperlink" Target="https://login.consultant.ru/link/?req=doc&amp;base=LAW&amp;n=501291&amp;date=07.07.2025" TargetMode="External"/><Relationship Id="rId24" Type="http://schemas.openxmlformats.org/officeDocument/2006/relationships/hyperlink" Target="https://login.consultant.ru/link/?req=doc&amp;base=LAW&amp;n=483239&amp;date=07.07.2025&amp;dst=352&amp;field=134" TargetMode="External"/><Relationship Id="rId25" Type="http://schemas.openxmlformats.org/officeDocument/2006/relationships/hyperlink" Target="https://login.consultant.ru/link/?req=doc&amp;base=LAW&amp;n=483239&amp;date=07.07.2025&amp;dst=530&amp;field=134" TargetMode="External"/><Relationship Id="rId26" Type="http://schemas.openxmlformats.org/officeDocument/2006/relationships/hyperlink" Target="https://login.consultant.ru/link/?req=doc&amp;base=LAW&amp;n=483239&amp;date=07.07.2025&amp;dst=349&amp;field=134" TargetMode="External"/><Relationship Id="rId27" Type="http://schemas.openxmlformats.org/officeDocument/2006/relationships/image" Target="media/image1.wmf"/><Relationship Id="rId28" Type="http://schemas.openxmlformats.org/officeDocument/2006/relationships/image" Target="media/media1.svg"/><Relationship Id="rId29" Type="http://schemas.openxmlformats.org/officeDocument/2006/relationships/hyperlink" Target="https://login.consultant.ru/link/?req=doc&amp;base=LAW&amp;n=529673&amp;date=27.07.2026&amp;dst=531&amp;field=134" TargetMode="External"/><Relationship Id="rId30" Type="http://schemas.openxmlformats.org/officeDocument/2006/relationships/hyperlink" Target="https://login.consultant.ru/link/?req=doc&amp;base=LAW&amp;n=529673&amp;date=27.07.2026" TargetMode="External"/><Relationship Id="rId31" Type="http://schemas.openxmlformats.org/officeDocument/2006/relationships/hyperlink" Target="https://login.consultant.ru/link/?req=doc&amp;base=LAW&amp;n=529673&amp;date=27.07.2026&amp;dst=532&amp;field=134" TargetMode="External"/><Relationship Id="rId32" Type="http://schemas.openxmlformats.org/officeDocument/2006/relationships/hyperlink" Target="https://login.consultant.ru/link/?req=doc&amp;base=LAW&amp;n=506972&amp;date=27.07.2026&amp;dst=100378&amp;field=134" TargetMode="External"/><Relationship Id="rId33" Type="http://schemas.openxmlformats.org/officeDocument/2006/relationships/hyperlink" Target="https://login.consultant.ru/link/?req=doc&amp;base=LAW&amp;n=373204&amp;date=27.07.2026&amp;dst=100981&amp;field=134" TargetMode="External"/><Relationship Id="rId34" Type="http://schemas.openxmlformats.org/officeDocument/2006/relationships/hyperlink" Target="https://login.consultant.ru/link/?req=doc&amp;base=LAW&amp;n=506972&amp;date=27.07.2026&amp;dst=100058&amp;field=134" TargetMode="External"/><Relationship Id="rId35" Type="http://schemas.openxmlformats.org/officeDocument/2006/relationships/hyperlink" Target="https://login.consultant.ru/link/?req=doc&amp;base=LAW&amp;n=506972&amp;date=27.07.2026&amp;dst=100160&amp;field=134" TargetMode="External"/><Relationship Id="rId36" Type="http://schemas.openxmlformats.org/officeDocument/2006/relationships/hyperlink" Target="https://login.consultant.ru/link/?req=doc&amp;base=LAW&amp;n=506972&amp;date=27.07.2026&amp;dst=100177&amp;field=134" TargetMode="External"/><Relationship Id="rId37" Type="http://schemas.openxmlformats.org/officeDocument/2006/relationships/hyperlink" Target="https://login.consultant.ru/link/?req=doc&amp;base=LAW&amp;n=373204&amp;date=27.07.2026&amp;dst=100981&amp;field=134" TargetMode="External"/><Relationship Id="rId38" Type="http://schemas.openxmlformats.org/officeDocument/2006/relationships/hyperlink" Target="https://login.consultant.ru/link/?req=doc&amp;base=LAW&amp;n=373204&amp;date=27.07.2026&amp;dst=101205&amp;field=134" TargetMode="External"/><Relationship Id="rId39" Type="http://schemas.openxmlformats.org/officeDocument/2006/relationships/hyperlink" Target="https://login.consultant.ru/link/?req=doc&amp;base=LAW&amp;n=373204&amp;date=27.07.2026&amp;dst=101207&amp;field=134" TargetMode="External"/><Relationship Id="rId40" Type="http://schemas.openxmlformats.org/officeDocument/2006/relationships/hyperlink" Target="https://login.consultant.ru/link/?req=doc&amp;base=LAW&amp;n=428583&amp;date=27.07.2026&amp;dst=100245&amp;field=134" TargetMode="External"/><Relationship Id="rId41" Type="http://schemas.openxmlformats.org/officeDocument/2006/relationships/hyperlink" Target="https://login.consultant.ru/link/?req=doc&amp;base=LAW&amp;n=428583&amp;date=27.07.2026&amp;dst=100256&amp;field=134" TargetMode="External"/><Relationship Id="rId42" Type="http://schemas.openxmlformats.org/officeDocument/2006/relationships/hyperlink" Target="https://login.consultant.ru/link/?req=doc&amp;base=LAW&amp;n=506972&amp;date=27.07.2026&amp;dst=100269&amp;field=134" TargetMode="External"/><Relationship Id="rId43" Type="http://schemas.openxmlformats.org/officeDocument/2006/relationships/hyperlink" Target="https://login.consultant.ru/link/?req=doc&amp;base=LAW&amp;n=506972&amp;date=27.07.2026&amp;dst=100270&amp;field=134" TargetMode="External"/><Relationship Id="rId44" Type="http://schemas.openxmlformats.org/officeDocument/2006/relationships/hyperlink" Target="https://login.consultant.ru/link/?req=doc&amp;base=LAW&amp;n=373204&amp;date=27.07.2026&amp;dst=100876&amp;field=134" TargetMode="External"/><Relationship Id="rId45" Type="http://schemas.openxmlformats.org/officeDocument/2006/relationships/hyperlink" Target="https://login.consultant.ru/link/?req=doc&amp;base=LAW&amp;n=428583&amp;date=27.07.2026&amp;dst=100020&amp;field=134" TargetMode="External"/><Relationship Id="rId46" Type="http://schemas.openxmlformats.org/officeDocument/2006/relationships/hyperlink" Target="https://login.consultant.ru/link/?req=doc&amp;base=LAW&amp;n=506972&amp;date=27.07.2026&amp;dst=100012&amp;field=134" TargetMode="External"/><Relationship Id="rId47" Type="http://schemas.openxmlformats.org/officeDocument/2006/relationships/hyperlink" Target="https://login.consultant.ru/link/?req=doc&amp;base=LAW&amp;n=373204&amp;date=27.07.2026&amp;dst=100011&amp;field=134" TargetMode="External"/><Relationship Id="rId48" Type="http://schemas.openxmlformats.org/officeDocument/2006/relationships/hyperlink" Target="https://login.consultant.ru/link/?req=doc&amp;base=LAW&amp;n=500206&amp;date=27.07.2026&amp;dst=100077&amp;field=134" TargetMode="External"/><Relationship Id="rId49" Type="http://schemas.openxmlformats.org/officeDocument/2006/relationships/hyperlink" Target="https://login.consultant.ru/link/?req=doc&amp;base=LAW&amp;n=506972&amp;date=27.07.2026&amp;dst=100068&amp;field=134" TargetMode="External"/><Relationship Id="rId50" Type="http://schemas.openxmlformats.org/officeDocument/2006/relationships/hyperlink" Target="https://login.consultant.ru/link/?req=doc&amp;base=LAW&amp;n=373204&amp;date=27.07.2026&amp;dst=100815&amp;field=134" TargetMode="External"/><Relationship Id="rId51" Type="http://schemas.openxmlformats.org/officeDocument/2006/relationships/hyperlink" Target="https://login.consultant.ru/link/?req=doc&amp;base=LAW&amp;n=506808&amp;date=27.07.2026&amp;dst=100013&amp;field=134" TargetMode="External"/><Relationship Id="rId52" Type="http://schemas.openxmlformats.org/officeDocument/2006/relationships/hyperlink" Target="https://login.consultant.ru/link/?req=doc&amp;base=LAW&amp;n=506972&amp;date=27.07.2026&amp;dst=100338&amp;field=134" TargetMode="External"/><Relationship Id="rId53" Type="http://schemas.openxmlformats.org/officeDocument/2006/relationships/hyperlink" Target="https://login.consultant.ru/link/?req=doc&amp;base=LAW&amp;n=506972&amp;date=27.07.2026&amp;dst=100349&amp;field=134" TargetMode="External"/><Relationship Id="rId54" Type="http://schemas.openxmlformats.org/officeDocument/2006/relationships/hyperlink" Target="https://login.consultant.ru/link/?req=doc&amp;base=LAW&amp;n=373204&amp;date=27.07.2026&amp;dst=100864&amp;field=134" TargetMode="External"/><Relationship Id="rId55" Type="http://schemas.openxmlformats.org/officeDocument/2006/relationships/hyperlink" Target="https://login.consultant.ru/link/?req=doc&amp;base=LAW&amp;n=529673&amp;date=27.07.2026&amp;dst=533&amp;field=134" TargetMode="External"/><Relationship Id="rId56" Type="http://schemas.openxmlformats.org/officeDocument/2006/relationships/hyperlink" Target="https://login.consultant.ru/link/?req=doc&amp;base=LAW&amp;n=529673&amp;date=27.07.2026&amp;dst=534&amp;field=134" TargetMode="External"/><Relationship Id="rId57" Type="http://schemas.openxmlformats.org/officeDocument/2006/relationships/hyperlink" Target="https://login.consultant.ru/link/?req=doc&amp;base=LAW&amp;n=506972&amp;date=27.07.2026&amp;dst=100458&amp;field=134" TargetMode="External"/><Relationship Id="rId58" Type="http://schemas.openxmlformats.org/officeDocument/2006/relationships/hyperlink" Target="https://login.consultant.ru/link/?req=doc&amp;base=LAW&amp;n=506972&amp;date=27.07.2026&amp;dst=100460&amp;field=134" TargetMode="External"/><Relationship Id="rId59" Type="http://schemas.openxmlformats.org/officeDocument/2006/relationships/hyperlink" Target="https://login.consultant.ru/link/?req=doc&amp;base=LAW&amp;n=506972&amp;date=27.07.2026&amp;dst=100144&amp;field=134" TargetMode="External"/><Relationship Id="rId60" Type="http://schemas.openxmlformats.org/officeDocument/2006/relationships/hyperlink" Target="https://login.consultant.ru/link/?req=doc&amp;base=LAW&amp;n=506972&amp;date=27.07.2026&amp;dst=100787&amp;field=134" TargetMode="External"/><Relationship Id="rId61" Type="http://schemas.openxmlformats.org/officeDocument/2006/relationships/hyperlink" Target="https://login.consultant.ru/link/?req=doc&amp;base=LAW&amp;n=506972&amp;date=27.07.2026&amp;dst=100789&amp;field=134" TargetMode="External"/><Relationship Id="rId62" Type="http://schemas.openxmlformats.org/officeDocument/2006/relationships/hyperlink" Target="https://login.consultant.ru/link/?req=doc&amp;base=LAW&amp;n=506972&amp;date=27.07.2026&amp;dst=100794&amp;field=134" TargetMode="External"/><Relationship Id="rId63" Type="http://schemas.openxmlformats.org/officeDocument/2006/relationships/hyperlink" Target="https://login.consultant.ru/link/?req=doc&amp;base=LAW&amp;n=506972&amp;date=27.07.2026&amp;dst=100795&amp;field=134" TargetMode="External"/><Relationship Id="rId64" Type="http://schemas.openxmlformats.org/officeDocument/2006/relationships/hyperlink" Target="https://login.consultant.ru/link/?req=doc&amp;base=LAW&amp;n=506972&amp;date=27.07.2026&amp;dst=100916&amp;field=134" TargetMode="External"/><Relationship Id="rId65" Type="http://schemas.openxmlformats.org/officeDocument/2006/relationships/hyperlink" Target="https://login.consultant.ru/link/?req=doc&amp;base=LAW&amp;n=506972&amp;date=27.07.2026&amp;dst=100925&amp;field=134" TargetMode="External"/><Relationship Id="rId66" Type="http://schemas.openxmlformats.org/officeDocument/2006/relationships/hyperlink" Target="https://login.consultant.ru/link/?req=doc&amp;base=LAW&amp;n=506972&amp;date=27.07.2026&amp;dst=101431&amp;field=134" TargetMode="External"/><Relationship Id="rId67" Type="http://schemas.openxmlformats.org/officeDocument/2006/relationships/hyperlink" Target="https://login.consultant.ru/link/?req=doc&amp;base=LAW&amp;n=529673&amp;date=27.07.2026&amp;dst=535&amp;field=134" TargetMode="External"/><Relationship Id="rId68" Type="http://schemas.openxmlformats.org/officeDocument/2006/relationships/hyperlink" Target="https://login.consultant.ru/link/?req=doc&amp;base=LAW&amp;n=506972&amp;date=27.07.2026&amp;dst=100880&amp;field=134" TargetMode="External"/><Relationship Id="rId69" Type="http://schemas.openxmlformats.org/officeDocument/2006/relationships/hyperlink" Target="https://login.consultant.ru/link/?req=doc&amp;base=LAW&amp;n=506972&amp;date=27.07.2026&amp;dst=100883&amp;field=134" TargetMode="External"/><Relationship Id="rId70" Type="http://schemas.openxmlformats.org/officeDocument/2006/relationships/hyperlink" Target="https://login.consultant.ru/link/?req=doc&amp;base=LAW&amp;n=373204&amp;date=27.07.2026&amp;dst=100981&amp;field=134" TargetMode="External"/><Relationship Id="rId71" Type="http://schemas.openxmlformats.org/officeDocument/2006/relationships/hyperlink" Target="https://login.consultant.ru/link/?req=doc&amp;base=LAW&amp;n=529673&amp;date=27.07.2026&amp;dst=537&amp;field=134" TargetMode="External"/><Relationship Id="rId72" Type="http://schemas.openxmlformats.org/officeDocument/2006/relationships/hyperlink" Target="https://login.consultant.ru/link/?req=doc&amp;base=LAW&amp;n=506972&amp;date=27.07.2026&amp;dst=100061&amp;field=134" TargetMode="External"/><Relationship Id="rId73" Type="http://schemas.openxmlformats.org/officeDocument/2006/relationships/hyperlink" Target="https://login.consultant.ru/link/?req=doc&amp;base=LAW&amp;n=506972&amp;date=27.07.2026&amp;dst=100097&amp;field=134" TargetMode="External"/><Relationship Id="rId74" Type="http://schemas.openxmlformats.org/officeDocument/2006/relationships/hyperlink" Target="https://login.consultant.ru/link/?req=doc&amp;base=LAW&amp;n=529673&amp;date=27.07.2026&amp;dst=538&amp;field=134" TargetMode="External"/><Relationship Id="rId75" Type="http://schemas.openxmlformats.org/officeDocument/2006/relationships/hyperlink" Target="https://login.consultant.ru/link/?req=doc&amp;base=LAW&amp;n=500206&amp;date=27.07.2026&amp;dst=228&amp;field=134" TargetMode="External"/><Relationship Id="rId76" Type="http://schemas.openxmlformats.org/officeDocument/2006/relationships/hyperlink" Target="https://login.consultant.ru/link/?req=doc&amp;base=LAW&amp;n=506972&amp;date=27.07.2026&amp;dst=100125&amp;field=134" TargetMode="External"/><Relationship Id="rId77" Type="http://schemas.openxmlformats.org/officeDocument/2006/relationships/hyperlink" Target="https://login.consultant.ru/link/?req=doc&amp;base=LAW&amp;n=506972&amp;date=27.07.2026&amp;dst=100576&amp;field=134" TargetMode="External"/><Relationship Id="rId78" Type="http://schemas.openxmlformats.org/officeDocument/2006/relationships/hyperlink" Target="https://login.consultant.ru/link/?req=doc&amp;base=LAW&amp;n=506972&amp;date=27.07.2026&amp;dst=101075&amp;field=134" TargetMode="External"/><Relationship Id="rId79" Type="http://schemas.openxmlformats.org/officeDocument/2006/relationships/hyperlink" Target="https://login.consultant.ru/link/?req=doc&amp;base=LAW&amp;n=506972&amp;date=27.07.2026&amp;dst=101082&amp;field=134" TargetMode="External"/><Relationship Id="rId80" Type="http://schemas.openxmlformats.org/officeDocument/2006/relationships/hyperlink" Target="https://login.consultant.ru/link/?req=doc&amp;base=LAW&amp;n=506972&amp;date=27.07.2026&amp;dst=101084&amp;field=134" TargetMode="External"/><Relationship Id="rId81" Type="http://schemas.openxmlformats.org/officeDocument/2006/relationships/hyperlink" Target="https://login.consultant.ru/link/?req=doc&amp;base=LAW&amp;n=506972&amp;date=27.07.2026&amp;dst=100124&amp;field=134" TargetMode="External"/><Relationship Id="rId82" Type="http://schemas.openxmlformats.org/officeDocument/2006/relationships/hyperlink" Target="https://login.consultant.ru/link/?req=doc&amp;base=LAW&amp;n=506972&amp;date=27.07.2026&amp;dst=101027&amp;field=134" TargetMode="External"/><Relationship Id="rId83" Type="http://schemas.openxmlformats.org/officeDocument/2006/relationships/hyperlink" Target="https://login.consultant.ru/link/?req=doc&amp;base=LAW&amp;n=506972&amp;date=27.07.2026&amp;dst=101128&amp;field=134" TargetMode="External"/><Relationship Id="rId84" Type="http://schemas.openxmlformats.org/officeDocument/2006/relationships/hyperlink" Target="https://login.consultant.ru/link/?req=doc&amp;base=LAW&amp;n=506972&amp;date=27.07.2026&amp;dst=101139&amp;field=134" TargetMode="External"/><Relationship Id="rId85" Type="http://schemas.openxmlformats.org/officeDocument/2006/relationships/hyperlink" Target="https://login.consultant.ru/link/?req=doc&amp;base=LAW&amp;n=506972&amp;date=27.07.2026&amp;dst=101029&amp;field=134" TargetMode="External"/><Relationship Id="rId86" Type="http://schemas.openxmlformats.org/officeDocument/2006/relationships/hyperlink" Target="https://login.consultant.ru/link/?req=doc&amp;base=LAW&amp;n=506972&amp;date=27.07.2026&amp;dst=101033&amp;field=134" TargetMode="External"/><Relationship Id="rId87" Type="http://schemas.openxmlformats.org/officeDocument/2006/relationships/hyperlink" Target="https://login.consultant.ru/link/?req=doc&amp;base=LAW&amp;n=506972&amp;date=27.07.2026&amp;dst=101283&amp;field=134" TargetMode="External"/><Relationship Id="rId88" Type="http://schemas.openxmlformats.org/officeDocument/2006/relationships/hyperlink" Target="https://login.consultant.ru/link/?req=doc&amp;base=LAW&amp;n=506972&amp;date=27.07.2026&amp;dst=101285&amp;field=134" TargetMode="External"/><Relationship Id="rId89" Type="http://schemas.openxmlformats.org/officeDocument/2006/relationships/hyperlink" Target="https://login.consultant.ru/link/?req=doc&amp;base=LAW&amp;n=506972&amp;date=27.07.2026&amp;dst=101308&amp;field=134" TargetMode="External"/><Relationship Id="rId90" Type="http://schemas.openxmlformats.org/officeDocument/2006/relationships/hyperlink" Target="https://login.consultant.ru/link/?req=doc&amp;base=LAW&amp;n=506972&amp;date=27.07.2026&amp;dst=101113&amp;field=134" TargetMode="External"/><Relationship Id="rId91" Type="http://schemas.openxmlformats.org/officeDocument/2006/relationships/hyperlink" Target="https://login.consultant.ru/link/?req=doc&amp;base=LAW&amp;n=506972&amp;date=27.07.2026&amp;dst=101210&amp;field=134" TargetMode="External"/><Relationship Id="rId92" Type="http://schemas.openxmlformats.org/officeDocument/2006/relationships/hyperlink" Target="https://login.consultant.ru/link/?req=doc&amp;base=LAW&amp;n=506972&amp;date=27.07.2026&amp;dst=100126&amp;field=134" TargetMode="External"/><Relationship Id="rId93" Type="http://schemas.openxmlformats.org/officeDocument/2006/relationships/hyperlink" Target="https://login.consultant.ru/link/?req=doc&amp;base=LAW&amp;n=296977&amp;date=27.07.2026&amp;dst=100015&amp;field=134" TargetMode="External"/><Relationship Id="rId94" Type="http://schemas.openxmlformats.org/officeDocument/2006/relationships/image" Target="media/image2.wmf"/><Relationship Id="rId95" Type="http://schemas.openxmlformats.org/officeDocument/2006/relationships/image" Target="media/media2.svg"/><Relationship Id="rId96" Type="http://schemas.openxmlformats.org/officeDocument/2006/relationships/hyperlink" Target="https://login.consultant.ru/link/?req=doc&amp;base=LAW&amp;n=500206&amp;date=27.07.2026&amp;dst=100048&amp;field=134" TargetMode="External"/><Relationship Id="rId97" Type="http://schemas.openxmlformats.org/officeDocument/2006/relationships/hyperlink" Target="https://login.consultant.ru/link/?req=doc&amp;base=LAW&amp;n=529673&amp;date=27.07.2026&amp;dst=314&amp;field=134" TargetMode="External"/><Relationship Id="rId98" Type="http://schemas.openxmlformats.org/officeDocument/2006/relationships/hyperlink" Target="https://login.consultant.ru/link/?req=doc&amp;base=LAW&amp;n=500206&amp;date=27.07.2026&amp;dst=331&amp;field=134" TargetMode="External"/><Relationship Id="rId99" Type="http://schemas.openxmlformats.org/officeDocument/2006/relationships/hyperlink" Target="https://login.consultant.ru/link/?req=doc&amp;base=LAW&amp;n=506972&amp;date=27.07.2026&amp;dst=100124&amp;field=134" TargetMode="External"/><Relationship Id="rId100" Type="http://schemas.openxmlformats.org/officeDocument/2006/relationships/hyperlink" Target="https://login.consultant.ru/link/?req=doc&amp;base=LAW&amp;n=506972&amp;date=27.07.2026&amp;dst=100144&amp;field=134" TargetMode="External"/><Relationship Id="rId101" Type="http://schemas.openxmlformats.org/officeDocument/2006/relationships/hyperlink" Target="https://login.consultant.ru/link/?req=doc&amp;base=LAW&amp;n=506972&amp;date=27.07.2026&amp;dst=100241&amp;field=134" TargetMode="External"/><Relationship Id="rId102" Type="http://schemas.openxmlformats.org/officeDocument/2006/relationships/hyperlink" Target="https://login.consultant.ru/link/?req=doc&amp;base=LAW&amp;n=506972&amp;date=27.07.2026&amp;dst=100242&amp;field=134" TargetMode="External"/><Relationship Id="rId103" Type="http://schemas.openxmlformats.org/officeDocument/2006/relationships/hyperlink" Target="https://login.consultant.ru/link/?req=doc&amp;base=LAW&amp;n=506972&amp;date=27.07.2026&amp;dst=100260&amp;field=134" TargetMode="External"/><Relationship Id="rId104" Type="http://schemas.openxmlformats.org/officeDocument/2006/relationships/hyperlink" Target="https://login.consultant.ru/link/?req=doc&amp;base=LAW&amp;n=506972&amp;date=27.07.2026&amp;dst=100435&amp;field=134" TargetMode="External"/><Relationship Id="rId105" Type="http://schemas.openxmlformats.org/officeDocument/2006/relationships/hyperlink" Target="https://login.consultant.ru/link/?req=doc&amp;base=LAW&amp;n=506972&amp;date=27.07.2026&amp;dst=100458&amp;field=134" TargetMode="External"/><Relationship Id="rId106" Type="http://schemas.openxmlformats.org/officeDocument/2006/relationships/hyperlink" Target="https://login.consultant.ru/link/?req=doc&amp;base=LAW&amp;n=506972&amp;date=27.07.2026&amp;dst=100460&amp;field=134" TargetMode="External"/><Relationship Id="rId107" Type="http://schemas.openxmlformats.org/officeDocument/2006/relationships/hyperlink" Target="https://login.consultant.ru/link/?req=doc&amp;base=LAW&amp;n=506972&amp;date=27.07.2026&amp;dst=100545&amp;field=134" TargetMode="External"/><Relationship Id="rId108" Type="http://schemas.openxmlformats.org/officeDocument/2006/relationships/hyperlink" Target="https://login.consultant.ru/link/?req=doc&amp;base=LAW&amp;n=506972&amp;date=27.07.2026&amp;dst=100547&amp;field=134" TargetMode="External"/><Relationship Id="rId109" Type="http://schemas.openxmlformats.org/officeDocument/2006/relationships/hyperlink" Target="https://login.consultant.ru/link/?req=doc&amp;base=LAW&amp;n=506972&amp;date=27.07.2026&amp;dst=100552&amp;field=134" TargetMode="External"/><Relationship Id="rId110" Type="http://schemas.openxmlformats.org/officeDocument/2006/relationships/hyperlink" Target="https://login.consultant.ru/link/?req=doc&amp;base=LAW&amp;n=506972&amp;date=27.07.2026&amp;dst=100592&amp;field=134" TargetMode="External"/><Relationship Id="rId111" Type="http://schemas.openxmlformats.org/officeDocument/2006/relationships/hyperlink" Target="https://login.consultant.ru/link/?req=doc&amp;base=LAW&amp;n=506972&amp;date=27.07.2026&amp;dst=100597&amp;field=134" TargetMode="External"/><Relationship Id="rId112" Type="http://schemas.openxmlformats.org/officeDocument/2006/relationships/hyperlink" Target="https://login.consultant.ru/link/?req=doc&amp;base=LAW&amp;n=506972&amp;date=27.07.2026&amp;dst=100681&amp;field=134" TargetMode="External"/><Relationship Id="rId113" Type="http://schemas.openxmlformats.org/officeDocument/2006/relationships/hyperlink" Target="https://login.consultant.ru/link/?req=doc&amp;base=LAW&amp;n=506972&amp;date=27.07.2026&amp;dst=100683&amp;field=134" TargetMode="External"/><Relationship Id="rId114" Type="http://schemas.openxmlformats.org/officeDocument/2006/relationships/hyperlink" Target="https://login.consultant.ru/link/?req=doc&amp;base=LAW&amp;n=506972&amp;date=27.07.2026&amp;dst=100734&amp;field=134" TargetMode="External"/><Relationship Id="rId115" Type="http://schemas.openxmlformats.org/officeDocument/2006/relationships/hyperlink" Target="https://login.consultant.ru/link/?req=doc&amp;base=LAW&amp;n=506972&amp;date=27.07.2026&amp;dst=100787&amp;field=134" TargetMode="External"/><Relationship Id="rId116" Type="http://schemas.openxmlformats.org/officeDocument/2006/relationships/hyperlink" Target="https://login.consultant.ru/link/?req=doc&amp;base=LAW&amp;n=506972&amp;date=27.07.2026&amp;dst=100789&amp;field=134" TargetMode="External"/><Relationship Id="rId117" Type="http://schemas.openxmlformats.org/officeDocument/2006/relationships/hyperlink" Target="https://login.consultant.ru/link/?req=doc&amp;base=LAW&amp;n=506972&amp;date=27.07.2026&amp;dst=100794&amp;field=134" TargetMode="External"/><Relationship Id="rId118" Type="http://schemas.openxmlformats.org/officeDocument/2006/relationships/hyperlink" Target="https://login.consultant.ru/link/?req=doc&amp;base=LAW&amp;n=506972&amp;date=27.07.2026&amp;dst=100795&amp;field=134" TargetMode="External"/><Relationship Id="rId119" Type="http://schemas.openxmlformats.org/officeDocument/2006/relationships/hyperlink" Target="https://login.consultant.ru/link/?req=doc&amp;base=LAW&amp;n=506972&amp;date=27.07.2026&amp;dst=100846&amp;field=134" TargetMode="External"/><Relationship Id="rId120" Type="http://schemas.openxmlformats.org/officeDocument/2006/relationships/hyperlink" Target="https://login.consultant.ru/link/?req=doc&amp;base=LAW&amp;n=506972&amp;date=27.07.2026&amp;dst=100847&amp;field=134" TargetMode="External"/><Relationship Id="rId121" Type="http://schemas.openxmlformats.org/officeDocument/2006/relationships/hyperlink" Target="https://login.consultant.ru/link/?req=doc&amp;base=LAW&amp;n=506972&amp;date=27.07.2026&amp;dst=100956&amp;field=134" TargetMode="External"/><Relationship Id="rId122" Type="http://schemas.openxmlformats.org/officeDocument/2006/relationships/hyperlink" Target="https://login.consultant.ru/link/?req=doc&amp;base=LAW&amp;n=506972&amp;date=27.07.2026&amp;dst=100964&amp;field=134" TargetMode="External"/><Relationship Id="rId123" Type="http://schemas.openxmlformats.org/officeDocument/2006/relationships/hyperlink" Target="https://login.consultant.ru/link/?req=doc&amp;base=LAW&amp;n=506972&amp;date=27.07.2026&amp;dst=100966&amp;field=134" TargetMode="External"/><Relationship Id="rId124" Type="http://schemas.openxmlformats.org/officeDocument/2006/relationships/hyperlink" Target="https://login.consultant.ru/link/?req=doc&amp;base=LAW&amp;n=506972&amp;date=27.07.2026&amp;dst=100971&amp;field=134" TargetMode="External"/><Relationship Id="rId125" Type="http://schemas.openxmlformats.org/officeDocument/2006/relationships/hyperlink" Target="https://login.consultant.ru/link/?req=doc&amp;base=LAW&amp;n=506972&amp;date=27.07.2026&amp;dst=100978&amp;field=134" TargetMode="External"/><Relationship Id="rId126" Type="http://schemas.openxmlformats.org/officeDocument/2006/relationships/hyperlink" Target="https://login.consultant.ru/link/?req=doc&amp;base=LAW&amp;n=506972&amp;date=27.07.2026&amp;dst=101027&amp;field=134" TargetMode="External"/><Relationship Id="rId127" Type="http://schemas.openxmlformats.org/officeDocument/2006/relationships/hyperlink" Target="https://login.consultant.ru/link/?req=doc&amp;base=LAW&amp;n=506972&amp;date=27.07.2026&amp;dst=101063&amp;field=134" TargetMode="External"/><Relationship Id="rId128" Type="http://schemas.openxmlformats.org/officeDocument/2006/relationships/hyperlink" Target="https://login.consultant.ru/link/?req=doc&amp;base=LAW&amp;n=506972&amp;date=27.07.2026&amp;dst=101073&amp;field=134" TargetMode="External"/><Relationship Id="rId129" Type="http://schemas.openxmlformats.org/officeDocument/2006/relationships/hyperlink" Target="https://login.consultant.ru/link/?req=doc&amp;base=LAW&amp;n=506972&amp;date=27.07.2026&amp;dst=101075&amp;field=134" TargetMode="External"/><Relationship Id="rId130" Type="http://schemas.openxmlformats.org/officeDocument/2006/relationships/hyperlink" Target="https://login.consultant.ru/link/?req=doc&amp;base=LAW&amp;n=506972&amp;date=27.07.2026&amp;dst=101082&amp;field=134" TargetMode="External"/><Relationship Id="rId131" Type="http://schemas.openxmlformats.org/officeDocument/2006/relationships/hyperlink" Target="https://login.consultant.ru/link/?req=doc&amp;base=LAW&amp;n=506972&amp;date=27.07.2026&amp;dst=101084&amp;field=134" TargetMode="External"/><Relationship Id="rId132" Type="http://schemas.openxmlformats.org/officeDocument/2006/relationships/hyperlink" Target="https://login.consultant.ru/link/?req=doc&amp;base=LAW&amp;n=506972&amp;date=27.07.2026&amp;dst=101089&amp;field=134" TargetMode="External"/><Relationship Id="rId133" Type="http://schemas.openxmlformats.org/officeDocument/2006/relationships/hyperlink" Target="https://login.consultant.ru/link/?req=doc&amp;base=LAW&amp;n=506972&amp;date=27.07.2026&amp;dst=101159&amp;field=134" TargetMode="External"/><Relationship Id="rId134" Type="http://schemas.openxmlformats.org/officeDocument/2006/relationships/hyperlink" Target="https://login.consultant.ru/link/?req=doc&amp;base=LAW&amp;n=506972&amp;date=27.07.2026&amp;dst=101166&amp;field=134" TargetMode="External"/><Relationship Id="rId135" Type="http://schemas.openxmlformats.org/officeDocument/2006/relationships/hyperlink" Target="https://login.consultant.ru/link/?req=doc&amp;base=LAW&amp;n=506972&amp;date=27.07.2026&amp;dst=101167&amp;field=134" TargetMode="External"/><Relationship Id="rId136" Type="http://schemas.openxmlformats.org/officeDocument/2006/relationships/hyperlink" Target="https://login.consultant.ru/link/?req=doc&amp;base=LAW&amp;n=506972&amp;date=27.07.2026&amp;dst=101210&amp;field=134" TargetMode="External"/><Relationship Id="rId137" Type="http://schemas.openxmlformats.org/officeDocument/2006/relationships/hyperlink" Target="https://login.consultant.ru/link/?req=doc&amp;base=LAW&amp;n=506972&amp;date=27.07.2026&amp;dst=101279&amp;field=134" TargetMode="External"/><Relationship Id="rId138" Type="http://schemas.openxmlformats.org/officeDocument/2006/relationships/hyperlink" Target="https://login.consultant.ru/link/?req=doc&amp;base=LAW&amp;n=506972&amp;date=27.07.2026&amp;dst=101281&amp;field=134" TargetMode="External"/><Relationship Id="rId139" Type="http://schemas.openxmlformats.org/officeDocument/2006/relationships/hyperlink" Target="https://login.consultant.ru/link/?req=doc&amp;base=LAW&amp;n=506972&amp;date=27.07.2026&amp;dst=101283&amp;field=134" TargetMode="External"/><Relationship Id="rId140" Type="http://schemas.openxmlformats.org/officeDocument/2006/relationships/hyperlink" Target="https://login.consultant.ru/link/?req=doc&amp;base=LAW&amp;n=506972&amp;date=27.07.2026&amp;dst=101285&amp;field=134" TargetMode="External"/><Relationship Id="rId141" Type="http://schemas.openxmlformats.org/officeDocument/2006/relationships/hyperlink" Target="https://login.consultant.ru/link/?req=doc&amp;base=LAW&amp;n=506972&amp;date=27.07.2026&amp;dst=101287&amp;field=134" TargetMode="External"/><Relationship Id="rId142" Type="http://schemas.openxmlformats.org/officeDocument/2006/relationships/hyperlink" Target="https://login.consultant.ru/link/?req=doc&amp;base=LAW&amp;n=506972&amp;date=27.07.2026&amp;dst=101297&amp;field=134" TargetMode="External"/><Relationship Id="rId143" Type="http://schemas.openxmlformats.org/officeDocument/2006/relationships/hyperlink" Target="https://login.consultant.ru/link/?req=doc&amp;base=LAW&amp;n=506972&amp;date=27.07.2026&amp;dst=101308&amp;field=134" TargetMode="External"/><Relationship Id="rId144" Type="http://schemas.openxmlformats.org/officeDocument/2006/relationships/hyperlink" Target="https://login.consultant.ru/link/?req=doc&amp;base=LAW&amp;n=373204&amp;date=27.07.2026&amp;dst=101342&amp;field=134" TargetMode="External"/><Relationship Id="rId145" Type="http://schemas.openxmlformats.org/officeDocument/2006/relationships/hyperlink" Target="https://login.consultant.ru/link/?req=doc&amp;base=LAW&amp;n=373204&amp;date=27.07.2026&amp;dst=101352&amp;field=134" TargetMode="External"/><Relationship Id="rId146" Type="http://schemas.openxmlformats.org/officeDocument/2006/relationships/hyperlink" Target="https://login.consultant.ru/link/?req=doc&amp;base=LAW&amp;n=373204&amp;date=27.07.2026&amp;dst=101360&amp;field=134" TargetMode="External"/><Relationship Id="rId147" Type="http://schemas.openxmlformats.org/officeDocument/2006/relationships/hyperlink" Target="https://login.consultant.ru/link/?req=doc&amp;base=LAW&amp;n=373204&amp;date=27.07.2026&amp;dst=101375&amp;field=134" TargetMode="External"/><Relationship Id="rId148" Type="http://schemas.openxmlformats.org/officeDocument/2006/relationships/hyperlink" Target="https://login.consultant.ru/link/?req=doc&amp;base=LAW&amp;n=506972&amp;date=27.07.2026&amp;dst=100124&amp;field=134" TargetMode="External"/><Relationship Id="rId149" Type="http://schemas.openxmlformats.org/officeDocument/2006/relationships/hyperlink" Target="https://login.consultant.ru/link/?req=doc&amp;base=LAW&amp;n=506972&amp;date=27.07.2026&amp;dst=100144&amp;field=134" TargetMode="External"/><Relationship Id="rId150" Type="http://schemas.openxmlformats.org/officeDocument/2006/relationships/hyperlink" Target="https://login.consultant.ru/link/?req=doc&amp;base=LAW&amp;n=506972&amp;date=27.07.2026&amp;dst=100241&amp;field=134" TargetMode="External"/><Relationship Id="rId151" Type="http://schemas.openxmlformats.org/officeDocument/2006/relationships/hyperlink" Target="https://login.consultant.ru/link/?req=doc&amp;base=LAW&amp;n=506972&amp;date=27.07.2026&amp;dst=100242&amp;field=134" TargetMode="External"/><Relationship Id="rId152" Type="http://schemas.openxmlformats.org/officeDocument/2006/relationships/hyperlink" Target="https://login.consultant.ru/link/?req=doc&amp;base=LAW&amp;n=506972&amp;date=27.07.2026&amp;dst=100260&amp;field=134" TargetMode="External"/><Relationship Id="rId153" Type="http://schemas.openxmlformats.org/officeDocument/2006/relationships/hyperlink" Target="https://login.consultant.ru/link/?req=doc&amp;base=LAW&amp;n=506972&amp;date=27.07.2026&amp;dst=100435&amp;field=134" TargetMode="External"/><Relationship Id="rId154" Type="http://schemas.openxmlformats.org/officeDocument/2006/relationships/hyperlink" Target="https://login.consultant.ru/link/?req=doc&amp;base=LAW&amp;n=506972&amp;date=27.07.2026&amp;dst=100458&amp;field=134" TargetMode="External"/><Relationship Id="rId155" Type="http://schemas.openxmlformats.org/officeDocument/2006/relationships/hyperlink" Target="https://login.consultant.ru/link/?req=doc&amp;base=LAW&amp;n=506972&amp;date=27.07.2026&amp;dst=100460&amp;field=134" TargetMode="External"/><Relationship Id="rId156" Type="http://schemas.openxmlformats.org/officeDocument/2006/relationships/hyperlink" Target="https://login.consultant.ru/link/?req=doc&amp;base=LAW&amp;n=506972&amp;date=27.07.2026&amp;dst=100545&amp;field=134" TargetMode="External"/><Relationship Id="rId157" Type="http://schemas.openxmlformats.org/officeDocument/2006/relationships/hyperlink" Target="https://login.consultant.ru/link/?req=doc&amp;base=LAW&amp;n=506972&amp;date=27.07.2026&amp;dst=100547&amp;field=134" TargetMode="External"/><Relationship Id="rId158" Type="http://schemas.openxmlformats.org/officeDocument/2006/relationships/hyperlink" Target="https://login.consultant.ru/link/?req=doc&amp;base=LAW&amp;n=506972&amp;date=27.07.2026&amp;dst=100552&amp;field=134" TargetMode="External"/><Relationship Id="rId159" Type="http://schemas.openxmlformats.org/officeDocument/2006/relationships/hyperlink" Target="https://login.consultant.ru/link/?req=doc&amp;base=LAW&amp;n=506972&amp;date=27.07.2026&amp;dst=100592&amp;field=134" TargetMode="External"/><Relationship Id="rId160" Type="http://schemas.openxmlformats.org/officeDocument/2006/relationships/hyperlink" Target="https://login.consultant.ru/link/?req=doc&amp;base=LAW&amp;n=506972&amp;date=27.07.2026&amp;dst=100597&amp;field=134" TargetMode="External"/><Relationship Id="rId161" Type="http://schemas.openxmlformats.org/officeDocument/2006/relationships/hyperlink" Target="https://login.consultant.ru/link/?req=doc&amp;base=LAW&amp;n=506972&amp;date=27.07.2026&amp;dst=100681&amp;field=134" TargetMode="External"/><Relationship Id="rId162" Type="http://schemas.openxmlformats.org/officeDocument/2006/relationships/hyperlink" Target="https://login.consultant.ru/link/?req=doc&amp;base=LAW&amp;n=506972&amp;date=27.07.2026&amp;dst=100683&amp;field=134" TargetMode="External"/><Relationship Id="rId163" Type="http://schemas.openxmlformats.org/officeDocument/2006/relationships/hyperlink" Target="https://login.consultant.ru/link/?req=doc&amp;base=LAW&amp;n=506972&amp;date=27.07.2026&amp;dst=100734&amp;field=134" TargetMode="External"/><Relationship Id="rId164" Type="http://schemas.openxmlformats.org/officeDocument/2006/relationships/hyperlink" Target="https://login.consultant.ru/link/?req=doc&amp;base=LAW&amp;n=506972&amp;date=27.07.2026&amp;dst=100787&amp;field=134" TargetMode="External"/><Relationship Id="rId165" Type="http://schemas.openxmlformats.org/officeDocument/2006/relationships/hyperlink" Target="https://login.consultant.ru/link/?req=doc&amp;base=LAW&amp;n=506972&amp;date=27.07.2026&amp;dst=100789&amp;field=134" TargetMode="External"/><Relationship Id="rId166" Type="http://schemas.openxmlformats.org/officeDocument/2006/relationships/hyperlink" Target="https://login.consultant.ru/link/?req=doc&amp;base=LAW&amp;n=506972&amp;date=27.07.2026&amp;dst=100794&amp;field=134" TargetMode="External"/><Relationship Id="rId167" Type="http://schemas.openxmlformats.org/officeDocument/2006/relationships/hyperlink" Target="https://login.consultant.ru/link/?req=doc&amp;base=LAW&amp;n=506972&amp;date=27.07.2026&amp;dst=100795&amp;field=134" TargetMode="External"/><Relationship Id="rId168" Type="http://schemas.openxmlformats.org/officeDocument/2006/relationships/hyperlink" Target="https://login.consultant.ru/link/?req=doc&amp;base=LAW&amp;n=506972&amp;date=27.07.2026&amp;dst=100846&amp;field=134" TargetMode="External"/><Relationship Id="rId169" Type="http://schemas.openxmlformats.org/officeDocument/2006/relationships/hyperlink" Target="https://login.consultant.ru/link/?req=doc&amp;base=LAW&amp;n=506972&amp;date=27.07.2026&amp;dst=100847&amp;field=134" TargetMode="External"/><Relationship Id="rId170" Type="http://schemas.openxmlformats.org/officeDocument/2006/relationships/hyperlink" Target="https://login.consultant.ru/link/?req=doc&amp;base=LAW&amp;n=506972&amp;date=27.07.2026&amp;dst=100956&amp;field=134" TargetMode="External"/><Relationship Id="rId171" Type="http://schemas.openxmlformats.org/officeDocument/2006/relationships/hyperlink" Target="https://login.consultant.ru/link/?req=doc&amp;base=LAW&amp;n=506972&amp;date=27.07.2026&amp;dst=100964&amp;field=134" TargetMode="External"/><Relationship Id="rId172" Type="http://schemas.openxmlformats.org/officeDocument/2006/relationships/hyperlink" Target="https://login.consultant.ru/link/?req=doc&amp;base=LAW&amp;n=506972&amp;date=27.07.2026&amp;dst=100966&amp;field=134" TargetMode="External"/><Relationship Id="rId173" Type="http://schemas.openxmlformats.org/officeDocument/2006/relationships/hyperlink" Target="https://login.consultant.ru/link/?req=doc&amp;base=LAW&amp;n=506972&amp;date=27.07.2026&amp;dst=100971&amp;field=134" TargetMode="External"/><Relationship Id="rId174" Type="http://schemas.openxmlformats.org/officeDocument/2006/relationships/hyperlink" Target="https://login.consultant.ru/link/?req=doc&amp;base=LAW&amp;n=506972&amp;date=27.07.2026&amp;dst=100978&amp;field=134" TargetMode="External"/><Relationship Id="rId175" Type="http://schemas.openxmlformats.org/officeDocument/2006/relationships/hyperlink" Target="https://login.consultant.ru/link/?req=doc&amp;base=LAW&amp;n=506972&amp;date=27.07.2026&amp;dst=101027&amp;field=134" TargetMode="External"/><Relationship Id="rId176" Type="http://schemas.openxmlformats.org/officeDocument/2006/relationships/hyperlink" Target="https://login.consultant.ru/link/?req=doc&amp;base=LAW&amp;n=506972&amp;date=27.07.2026&amp;dst=101063&amp;field=134" TargetMode="External"/><Relationship Id="rId177" Type="http://schemas.openxmlformats.org/officeDocument/2006/relationships/hyperlink" Target="https://login.consultant.ru/link/?req=doc&amp;base=LAW&amp;n=506972&amp;date=27.07.2026&amp;dst=101073&amp;field=134" TargetMode="External"/><Relationship Id="rId178" Type="http://schemas.openxmlformats.org/officeDocument/2006/relationships/hyperlink" Target="https://login.consultant.ru/link/?req=doc&amp;base=LAW&amp;n=506972&amp;date=27.07.2026&amp;dst=101075&amp;field=134" TargetMode="External"/><Relationship Id="rId179" Type="http://schemas.openxmlformats.org/officeDocument/2006/relationships/hyperlink" Target="https://login.consultant.ru/link/?req=doc&amp;base=LAW&amp;n=506972&amp;date=27.07.2026&amp;dst=101082&amp;field=134" TargetMode="External"/><Relationship Id="rId180" Type="http://schemas.openxmlformats.org/officeDocument/2006/relationships/hyperlink" Target="https://login.consultant.ru/link/?req=doc&amp;base=LAW&amp;n=506972&amp;date=27.07.2026&amp;dst=101084&amp;field=134" TargetMode="External"/><Relationship Id="rId181" Type="http://schemas.openxmlformats.org/officeDocument/2006/relationships/hyperlink" Target="https://login.consultant.ru/link/?req=doc&amp;base=LAW&amp;n=506972&amp;date=27.07.2026&amp;dst=101089&amp;field=134" TargetMode="External"/><Relationship Id="rId182" Type="http://schemas.openxmlformats.org/officeDocument/2006/relationships/hyperlink" Target="https://login.consultant.ru/link/?req=doc&amp;base=LAW&amp;n=506972&amp;date=27.07.2026&amp;dst=101159&amp;field=134" TargetMode="External"/><Relationship Id="rId183" Type="http://schemas.openxmlformats.org/officeDocument/2006/relationships/hyperlink" Target="https://login.consultant.ru/link/?req=doc&amp;base=LAW&amp;n=506972&amp;date=27.07.2026&amp;dst=101166&amp;field=134" TargetMode="External"/><Relationship Id="rId184" Type="http://schemas.openxmlformats.org/officeDocument/2006/relationships/hyperlink" Target="https://login.consultant.ru/link/?req=doc&amp;base=LAW&amp;n=506972&amp;date=27.07.2026&amp;dst=101167&amp;field=134" TargetMode="External"/><Relationship Id="rId185" Type="http://schemas.openxmlformats.org/officeDocument/2006/relationships/hyperlink" Target="https://login.consultant.ru/link/?req=doc&amp;base=LAW&amp;n=506972&amp;date=27.07.2026&amp;dst=101210&amp;field=134" TargetMode="External"/><Relationship Id="rId186" Type="http://schemas.openxmlformats.org/officeDocument/2006/relationships/hyperlink" Target="https://login.consultant.ru/link/?req=doc&amp;base=LAW&amp;n=506972&amp;date=27.07.2026&amp;dst=101279&amp;field=134" TargetMode="External"/><Relationship Id="rId187" Type="http://schemas.openxmlformats.org/officeDocument/2006/relationships/hyperlink" Target="https://login.consultant.ru/link/?req=doc&amp;base=LAW&amp;n=506972&amp;date=27.07.2026&amp;dst=101281&amp;field=134" TargetMode="External"/><Relationship Id="rId188" Type="http://schemas.openxmlformats.org/officeDocument/2006/relationships/hyperlink" Target="https://login.consultant.ru/link/?req=doc&amp;base=LAW&amp;n=506972&amp;date=27.07.2026&amp;dst=101283&amp;field=134" TargetMode="External"/><Relationship Id="rId189" Type="http://schemas.openxmlformats.org/officeDocument/2006/relationships/hyperlink" Target="https://login.consultant.ru/link/?req=doc&amp;base=LAW&amp;n=506972&amp;date=27.07.2026&amp;dst=101285&amp;field=134" TargetMode="External"/><Relationship Id="rId190" Type="http://schemas.openxmlformats.org/officeDocument/2006/relationships/hyperlink" Target="https://login.consultant.ru/link/?req=doc&amp;base=LAW&amp;n=506972&amp;date=27.07.2026&amp;dst=101287&amp;field=134" TargetMode="External"/><Relationship Id="rId191" Type="http://schemas.openxmlformats.org/officeDocument/2006/relationships/hyperlink" Target="https://login.consultant.ru/link/?req=doc&amp;base=LAW&amp;n=506972&amp;date=27.07.2026&amp;dst=101297&amp;field=134" TargetMode="External"/><Relationship Id="rId192" Type="http://schemas.openxmlformats.org/officeDocument/2006/relationships/hyperlink" Target="https://login.consultant.ru/link/?req=doc&amp;base=LAW&amp;n=506972&amp;date=27.07.2026&amp;dst=101308&amp;field=134" TargetMode="External"/><Relationship Id="rId193" Type="http://schemas.openxmlformats.org/officeDocument/2006/relationships/hyperlink" Target="https://login.consultant.ru/link/?req=doc&amp;base=LAW&amp;n=373204&amp;date=27.07.2026&amp;dst=101342&amp;field=134" TargetMode="External"/><Relationship Id="rId194" Type="http://schemas.openxmlformats.org/officeDocument/2006/relationships/hyperlink" Target="https://login.consultant.ru/link/?req=doc&amp;base=LAW&amp;n=373204&amp;date=27.07.2026&amp;dst=101352&amp;field=134" TargetMode="External"/><Relationship Id="rId195" Type="http://schemas.openxmlformats.org/officeDocument/2006/relationships/hyperlink" Target="https://login.consultant.ru/link/?req=doc&amp;base=LAW&amp;n=373204&amp;date=27.07.2026&amp;dst=101360&amp;field=134" TargetMode="External"/><Relationship Id="rId196" Type="http://schemas.openxmlformats.org/officeDocument/2006/relationships/hyperlink" Target="https://login.consultant.ru/link/?req=doc&amp;base=LAW&amp;n=373204&amp;date=27.07.2026&amp;dst=101375&amp;field=134" TargetMode="External"/><Relationship Id="rId197" Type="http://schemas.openxmlformats.org/officeDocument/2006/relationships/hyperlink" Target="https://login.consultant.ru/link/?req=doc&amp;base=LAW&amp;n=529673&amp;date=27.07.2026&amp;dst=314&amp;field=134" TargetMode="External"/><Relationship Id="rId198" Type="http://schemas.openxmlformats.org/officeDocument/2006/relationships/hyperlink" Target="https://login.consultant.ru/link/?req=doc&amp;base=LAW&amp;n=500206&amp;date=27.07.2026&amp;dst=331&amp;field=134"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er5.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_rels/header5.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Liberation Sans"/>
        <a:cs typeface="Liberation Sans"/>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Р7-Офис/2025.4.1.1604</Application>
  <Characters>88892</Characters>
  <CharactersWithSpaces>104278</CharactersWithSpaces>
  <Company>КонсультантПлюс Версия 4024.00.50</Company>
  <DocSecurity>0</DocSecurity>
  <HyperlinksChanged>false</HyperlinksChanged>
  <Lines>740</Lines>
  <LinksUpToDate>false</LinksUpToDate>
  <Pages>29</Pages>
  <Paragraphs>208</Paragraphs>
  <ScaleCrop>false</ScaleCrop>
  <SharedDoc>false</SharedDoc>
  <Template>Normal</Template>
  <TotalTime>8</TotalTime>
  <Words>15594</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Минэнерго России от 13.11.2024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(Зарегистрировано в Минюсте России 29.11.2024 N 80417)</dc:title>
  <dc:creator>Юрий Борисович Прибытков</dc:creator>
  <cp:lastModifiedBy>user</cp:lastModifiedBy>
  <cp:revision>9</cp:revision>
  <dcterms:created xsi:type="dcterms:W3CDTF">2025-07-07T10:39:00Z</dcterms:created>
  <dcterms:modified xsi:type="dcterms:W3CDTF">2026-07-27T13:07:00Z</dcterms:modified>
</cp:coreProperties>
</file>