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jc w:val="center"/>
        <w:rPr>
          <w:rFonts w:ascii="Times New Roman" w:hAnsi="Times New Roman"/>
        </w:rPr>
      </w:pPr>
      <w:r>
        <w:t xml:space="preserve">       </w:t>
      </w:r>
      <w:r>
        <w:t xml:space="preserve">                                                                                                                                    </w:t>
      </w:r>
      <w:r>
        <w:t xml:space="preserve">  </w:t>
      </w:r>
      <w:r>
        <w:rPr>
          <w:rFonts w:ascii="Times New Roman" w:hAnsi="Times New Roman"/>
        </w:rPr>
        <w:t xml:space="preserve">Приложение № 3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3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программе проведения оценки обеспечения </w:t>
      </w:r>
      <w:r>
        <w:rPr>
          <w:rFonts w:ascii="Times New Roman" w:hAnsi="Times New Roman"/>
        </w:rPr>
      </w:r>
    </w:p>
    <w:p>
      <w:pPr>
        <w:pStyle w:val="63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готовности муниципальных образований</w:t>
      </w:r>
      <w:r>
        <w:rPr>
          <w:rFonts w:ascii="Times New Roman" w:hAnsi="Times New Roman"/>
        </w:rPr>
      </w:r>
    </w:p>
    <w:p>
      <w:pPr>
        <w:pStyle w:val="629"/>
        <w:ind w:left="-900"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к отопительному периоду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9"/>
        <w:ind w:left="-900" w:firstLine="540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9166" cy="724205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9166" cy="724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0.33pt;height:57.02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814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6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6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ФЕДЕРАЛЬНАЯ СЛУЖБА </w:t>
            </w:r>
            <w:r>
              <w:rPr>
                <w:rFonts w:ascii="Times New Roman" w:hAnsi="Times New Roman"/>
              </w:rPr>
            </w:r>
          </w:p>
          <w:p>
            <w:pPr>
              <w:pStyle w:val="6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ЭКОЛОГИЧЕСКОМУ, ТЕХНОЛОГИЧЕСКОМУ И АТОМНОМУ НАДЗОРУ</w:t>
            </w:r>
            <w:r>
              <w:rPr>
                <w:rFonts w:ascii="Times New Roman" w:hAnsi="Times New Roman"/>
              </w:rPr>
            </w:r>
          </w:p>
          <w:p>
            <w:pPr>
              <w:pStyle w:val="6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(РОСТЕХНАДЗОР)</w:t>
            </w:r>
            <w:r>
              <w:rPr>
                <w:rFonts w:ascii="Times New Roman" w:hAnsi="Times New Roman"/>
              </w:rPr>
            </w:r>
          </w:p>
          <w:p>
            <w:pPr>
              <w:pStyle w:val="625"/>
            </w:pPr>
            <w:r/>
            <w:r/>
          </w:p>
          <w:p>
            <w:pPr>
              <w:pStyle w:val="617"/>
              <w:jc w:val="center"/>
              <w:spacing w:line="240" w:lineRule="atLeast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НИЖНЕ-ВОЛЖСКОЕ УПРАВЛЕНИЕ </w:t>
            </w:r>
            <w:r>
              <w:rPr>
                <w:b/>
                <w:spacing w:val="20"/>
                <w:sz w:val="28"/>
                <w:szCs w:val="28"/>
              </w:rPr>
            </w:r>
          </w:p>
          <w:p>
            <w:pPr>
              <w:pStyle w:val="617"/>
              <w:jc w:val="center"/>
              <w:spacing w:line="240" w:lineRule="atLeast"/>
            </w:pPr>
            <w:r/>
            <w:r/>
          </w:p>
          <w:p>
            <w:pPr>
              <w:pStyle w:val="618"/>
              <w:rPr>
                <w:spacing w:val="40"/>
                <w:sz w:val="32"/>
                <w:szCs w:val="32"/>
              </w:rPr>
            </w:pPr>
            <w:r>
              <w:rPr>
                <w:spacing w:val="40"/>
                <w:sz w:val="32"/>
                <w:szCs w:val="32"/>
              </w:rPr>
              <w:t xml:space="preserve">УВЕДОМЛЕНИЕ</w:t>
            </w:r>
            <w:r>
              <w:rPr>
                <w:spacing w:val="40"/>
                <w:sz w:val="32"/>
                <w:szCs w:val="32"/>
              </w:rPr>
            </w:r>
            <w:r>
              <w:rPr>
                <w:spacing w:val="40"/>
                <w:sz w:val="32"/>
                <w:szCs w:val="32"/>
              </w:rPr>
            </w:r>
          </w:p>
          <w:tbl>
            <w:tblPr>
              <w:tblW w:w="9855" w:type="dxa"/>
              <w:tblInd w:w="108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3142"/>
              <w:gridCol w:w="3285"/>
              <w:gridCol w:w="1857"/>
              <w:gridCol w:w="157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cantSplit/>
              </w:trPr>
              <w:tc>
                <w:tcPr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tcW w:w="3119" w:type="dxa"/>
                  <w:vAlign w:val="center"/>
                  <w:textDirection w:val="lrTb"/>
                  <w:noWrap w:val="false"/>
                </w:tcPr>
                <w:p>
                  <w:pPr>
                    <w:pStyle w:val="617"/>
                  </w:pPr>
                  <w:r/>
                  <w:r/>
                </w:p>
                <w:p>
                  <w:pPr>
                    <w:pStyle w:val="617"/>
                    <w:rPr>
                      <w:b/>
                    </w:rPr>
                  </w:pPr>
                  <w:r>
                    <w:t xml:space="preserve">________________________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tcW w:w="3260" w:type="dxa"/>
                  <w:vAlign w:val="top"/>
                  <w:textDirection w:val="lrTb"/>
                  <w:noWrap w:val="false"/>
                </w:tcPr>
                <w:p>
                  <w:pPr>
                    <w:pStyle w:val="619"/>
                  </w:pPr>
                  <w:r/>
                  <w:r/>
                </w:p>
              </w:tc>
              <w:tc>
                <w:tcPr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tcW w:w="184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</w:r>
                  <w:r>
                    <w:rPr>
                      <w:b/>
                      <w:sz w:val="22"/>
                    </w:rPr>
                  </w:r>
                </w:p>
                <w:p>
                  <w:pPr>
                    <w:pStyle w:val="617"/>
                    <w:jc w:val="righ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</w:r>
                  <w:r>
                    <w:rPr>
                      <w:b/>
                      <w:sz w:val="22"/>
                    </w:rPr>
                  </w:r>
                </w:p>
                <w:p>
                  <w:pPr>
                    <w:pStyle w:val="617"/>
                    <w:jc w:val="righ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№</w:t>
                  </w:r>
                  <w:r>
                    <w:rPr>
                      <w:b/>
                      <w:sz w:val="22"/>
                    </w:rPr>
                  </w:r>
                </w:p>
              </w:tc>
              <w:tc>
                <w:tcPr>
                  <w:tcBorders>
                    <w:top w:val="none" w:color="FFFFFF" w:sz="255" w:space="0"/>
                    <w:left w:val="none" w:color="FFFFFF" w:sz="255" w:space="0"/>
                    <w:bottom w:val="none" w:color="FFFFFF" w:sz="255" w:space="0"/>
                    <w:right w:val="none" w:color="FFFFFF" w:sz="255" w:space="0"/>
                  </w:tcBorders>
                  <w:tcW w:w="1559" w:type="dxa"/>
                  <w:vAlign w:val="bottom"/>
                  <w:textDirection w:val="lrTb"/>
                  <w:noWrap w:val="false"/>
                </w:tcPr>
                <w:p>
                  <w:pPr>
                    <w:pStyle w:val="617"/>
                  </w:pPr>
                  <w:r>
                    <w:t xml:space="preserve">__________</w:t>
                  </w:r>
                  <w:r/>
                </w:p>
              </w:tc>
            </w:tr>
          </w:tbl>
          <w:p>
            <w:pPr>
              <w:pStyle w:val="624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624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6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3"/>
              <w:jc w:val="center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оценки обеспечения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готовности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отопительному периоду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pStyle w:val="623"/>
              <w:jc w:val="center"/>
              <w:widowControl/>
            </w:pPr>
            <w:r/>
            <w:r/>
          </w:p>
        </w:tc>
      </w:tr>
    </w:tbl>
    <w:p>
      <w:pPr>
        <w:pStyle w:val="623"/>
        <w:widowControl/>
      </w:pPr>
      <w:r/>
      <w:r/>
    </w:p>
    <w:p>
      <w:pPr>
        <w:pStyle w:val="623"/>
        <w:jc w:val="right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right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right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</w:rPr>
        <w:t xml:space="preserve">(наименование муниципального образования)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spacing w:line="360" w:lineRule="auto"/>
        <w:outlineLvl w:val="0"/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риказ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Минэнерго России от 13.11.2024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периоду" </w:t>
      </w:r>
      <w:r>
        <w:rPr>
          <w:rFonts w:ascii="Times New Roman" w:hAnsi="Times New Roman" w:cs="Times New Roman"/>
          <w:sz w:val="28"/>
          <w:szCs w:val="28"/>
        </w:rPr>
        <w:t xml:space="preserve">(далее – приказ </w:t>
      </w:r>
      <w:r>
        <w:rPr>
          <w:rFonts w:ascii="Times New Roman" w:hAnsi="Times New Roman" w:cs="Times New Roman"/>
          <w:sz w:val="28"/>
          <w:szCs w:val="28"/>
        </w:rPr>
        <w:t xml:space="preserve">№ 2234) и П</w:t>
      </w:r>
      <w:r>
        <w:rPr>
          <w:rFonts w:ascii="Times New Roman" w:hAnsi="Times New Roman" w:cs="Times New Roman"/>
          <w:sz w:val="28"/>
          <w:szCs w:val="28"/>
        </w:rPr>
        <w:t xml:space="preserve">рограммой </w:t>
      </w:r>
      <w:r>
        <w:rPr>
          <w:rFonts w:ascii="Times New Roman" w:hAnsi="Times New Roman" w:cs="Times New Roman"/>
          <w:sz w:val="28"/>
          <w:szCs w:val="28"/>
        </w:rPr>
        <w:t xml:space="preserve">проведения оценки обеспечения готовности муниципальных образований на территории Волгоградской области к отопительному периоду 2025-2026гг.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готовности муниципальных образований на территории Волгоградской области к ОЗП 2025-2026гг.</w:t>
      </w:r>
      <w:r>
        <w:rPr>
          <w:rFonts w:ascii="Times New Roman" w:hAnsi="Times New Roman" w:cs="Times New Roman"/>
          <w:sz w:val="28"/>
          <w:szCs w:val="28"/>
        </w:rPr>
        <w:t xml:space="preserve">, уведомляем о начале с ___________проведения оценки обеспечения готовности на предмет выполнения требований по обеспечению готовности к отопительному периоду, установленных пунктом 8 приложения 1 приказа № 2234.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3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ab/>
        <w:t xml:space="preserve">График проведения оценки обеспечения готовности и состав комиссии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Нижне – Волжского управления Ростехнадзора </w:t>
      </w:r>
      <w:r>
        <w:rPr>
          <w:rFonts w:ascii="Times New Roman" w:hAnsi="Times New Roman" w:cs="Times New Roman"/>
          <w:sz w:val="28"/>
          <w:szCs w:val="28"/>
        </w:rPr>
        <w:t xml:space="preserve">(далее – Управление) в разделе «Деятельность» - «Государственный контроль и надзор» - «Федеральный государственный энергетический надзор»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Вам необходимо в срок не позднее __________представить в Управление (г. Волгоград, ул. </w:t>
      </w:r>
      <w:r>
        <w:rPr>
          <w:rFonts w:ascii="Times New Roman" w:hAnsi="Times New Roman" w:cs="Times New Roman"/>
          <w:sz w:val="28"/>
          <w:szCs w:val="28"/>
        </w:rPr>
        <w:t xml:space="preserve">Огарева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 каб. № </w:t>
      </w:r>
      <w:r>
        <w:rPr>
          <w:rFonts w:ascii="Times New Roman" w:hAnsi="Times New Roman" w:cs="Times New Roman"/>
          <w:sz w:val="28"/>
          <w:szCs w:val="28"/>
        </w:rPr>
        <w:t xml:space="preserve">210</w:t>
      </w:r>
      <w:r>
        <w:rPr>
          <w:rFonts w:ascii="Times New Roman" w:hAnsi="Times New Roman" w:cs="Times New Roman"/>
          <w:sz w:val="28"/>
          <w:szCs w:val="28"/>
        </w:rPr>
        <w:t xml:space="preserve">, тел. 8(8442)</w:t>
      </w:r>
      <w:r>
        <w:rPr>
          <w:rFonts w:ascii="Times New Roman" w:hAnsi="Times New Roman" w:cs="Times New Roman"/>
          <w:sz w:val="28"/>
          <w:szCs w:val="28"/>
        </w:rPr>
        <w:t xml:space="preserve">93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62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76</w:t>
      </w:r>
      <w:r>
        <w:rPr>
          <w:rFonts w:ascii="Times New Roman" w:hAnsi="Times New Roman" w:cs="Times New Roman"/>
          <w:sz w:val="28"/>
          <w:szCs w:val="28"/>
        </w:rPr>
        <w:t xml:space="preserve">) документы, подтверждающие выполнение требований по готовности к отопительному периоду, а также заполненный оценочный лист (образец прилагается).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7 приложения 2 приказа № 2234 прошу ответным сообщением подтвердить получение данного уведомления на адрес электронной почты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vlgenergo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nvol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gosnadzor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widowControl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623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righ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(председатель комиссии по оценке обеспечения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jc w:val="righ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Готовности)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</w:t>
      </w:r>
      <w:r>
        <w:rPr>
          <w:rFonts w:ascii="Times New Roman" w:hAnsi="Times New Roman" w:cs="Times New Roman"/>
          <w:lang w:val="en-US"/>
        </w:rPr>
        <w:t xml:space="preserve">______</w:t>
      </w:r>
      <w:r>
        <w:rPr>
          <w:rFonts w:ascii="Times New Roman" w:hAnsi="Times New Roman" w:cs="Times New Roman"/>
        </w:rPr>
        <w:t xml:space="preserve">_________</w:t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(последнее - при наличии) и должность</w:t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должностного лица, непосредственно подготовившего проект </w:t>
      </w:r>
      <w:r>
        <w:rPr>
          <w:rFonts w:ascii="Times New Roman" w:hAnsi="Times New Roman" w:cs="Times New Roman"/>
        </w:rPr>
        <w:t xml:space="preserve">уведомления,</w:t>
      </w:r>
      <w:r>
        <w:rPr>
          <w:rFonts w:ascii="Times New Roman" w:hAnsi="Times New Roman" w:cs="Times New Roman"/>
        </w:rPr>
      </w:r>
    </w:p>
    <w:p>
      <w:pPr>
        <w:pStyle w:val="623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телефон, электронный адрес (при наличии)</w:t>
      </w:r>
      <w:r>
        <w:rPr>
          <w:rFonts w:ascii="Times New Roman" w:hAnsi="Times New Roman" w:cs="Times New Roman"/>
        </w:rPr>
      </w:r>
    </w:p>
    <w:p>
      <w:pPr>
        <w:pStyle w:val="617"/>
      </w:pPr>
      <w:r/>
      <w:r/>
    </w:p>
    <w:sectPr>
      <w:footnotePr/>
      <w:endnotePr/>
      <w:type w:val="nextPage"/>
      <w:pgSz w:w="11906" w:h="16838" w:orient="portrait"/>
      <w:pgMar w:top="89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6030504020204"/>
  </w:font>
  <w:font w:name="Arial">
    <w:panose1 w:val="020B0604020202020204"/>
  </w:font>
  <w:font w:name="Courier New">
    <w:panose1 w:val="02070409020205020404"/>
  </w:font>
  <w:font w:name="Times New Roman">
    <w:panose1 w:val="02020603050405020304"/>
  </w:font>
  <w:font w:name="Cambria">
    <w:panose1 w:val="02040503050406030204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7"/>
    <w:next w:val="61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7"/>
    <w:next w:val="61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12"/>
    <w:link w:val="62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7"/>
    <w:next w:val="61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7"/>
    <w:next w:val="61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7"/>
    <w:next w:val="61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7"/>
    <w:next w:val="61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7"/>
    <w:next w:val="61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7"/>
    <w:next w:val="61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7"/>
    <w:next w:val="61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7"/>
    <w:next w:val="61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7"/>
    <w:next w:val="61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7"/>
    <w:next w:val="61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7"/>
    <w:next w:val="61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rPr>
      <w:sz w:val="24"/>
      <w:szCs w:val="24"/>
      <w:lang w:val="ru-RU" w:eastAsia="ru-RU" w:bidi="ar-SA"/>
    </w:rPr>
  </w:style>
  <w:style w:type="paragraph" w:styleId="618">
    <w:name w:val="Заголовок 1"/>
    <w:basedOn w:val="617"/>
    <w:next w:val="617"/>
    <w:link w:val="617"/>
    <w:qFormat/>
    <w:pPr>
      <w:jc w:val="center"/>
      <w:keepNext/>
      <w:outlineLvl w:val="0"/>
    </w:pPr>
    <w:rPr>
      <w:b/>
      <w:spacing w:val="20"/>
      <w:sz w:val="28"/>
    </w:rPr>
  </w:style>
  <w:style w:type="paragraph" w:styleId="619">
    <w:name w:val="Заголовок 2"/>
    <w:basedOn w:val="617"/>
    <w:next w:val="617"/>
    <w:link w:val="630"/>
    <w:qFormat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620">
    <w:name w:val="Основной шрифт абзаца"/>
    <w:next w:val="620"/>
    <w:link w:val="617"/>
    <w:semiHidden/>
  </w:style>
  <w:style w:type="table" w:styleId="621">
    <w:name w:val="Обычная таблица"/>
    <w:next w:val="621"/>
    <w:link w:val="617"/>
    <w:semiHidden/>
    <w:tblPr/>
  </w:style>
  <w:style w:type="numbering" w:styleId="622">
    <w:name w:val="Нет списка"/>
    <w:next w:val="622"/>
    <w:link w:val="617"/>
    <w:semiHidden/>
  </w:style>
  <w:style w:type="paragraph" w:styleId="623">
    <w:name w:val="ConsPlusNonformat"/>
    <w:next w:val="623"/>
    <w:link w:val="628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24">
    <w:name w:val="Название объекта"/>
    <w:basedOn w:val="617"/>
    <w:next w:val="617"/>
    <w:link w:val="617"/>
    <w:qFormat/>
    <w:pPr>
      <w:jc w:val="center"/>
    </w:pPr>
    <w:rPr>
      <w:rFonts w:ascii="Arial" w:hAnsi="Arial" w:cs="Arial"/>
      <w:b/>
      <w:bCs/>
      <w:sz w:val="22"/>
      <w:szCs w:val="22"/>
    </w:rPr>
  </w:style>
  <w:style w:type="paragraph" w:styleId="625">
    <w:name w:val="Normal1"/>
    <w:next w:val="625"/>
    <w:link w:val="617"/>
    <w:pPr>
      <w:widowControl w:val="off"/>
    </w:pPr>
    <w:rPr>
      <w:lang w:val="ru-RU" w:eastAsia="ru-RU" w:bidi="ar-SA"/>
    </w:rPr>
  </w:style>
  <w:style w:type="paragraph" w:styleId="626">
    <w:name w:val="Heading 3"/>
    <w:basedOn w:val="625"/>
    <w:next w:val="625"/>
    <w:link w:val="617"/>
    <w:pPr>
      <w:jc w:val="center"/>
      <w:keepNext/>
      <w:spacing w:line="240" w:lineRule="atLeast"/>
      <w:widowControl/>
      <w:outlineLvl w:val="2"/>
    </w:pPr>
    <w:rPr>
      <w:rFonts w:ascii="Arial" w:hAnsi="Arial"/>
      <w:b/>
      <w:spacing w:val="20"/>
      <w:sz w:val="22"/>
    </w:rPr>
  </w:style>
  <w:style w:type="paragraph" w:styleId="627">
    <w:name w:val=" Знак Знак Знак Знак Знак Знак Знак"/>
    <w:basedOn w:val="617"/>
    <w:next w:val="627"/>
    <w:link w:val="6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628">
    <w:name w:val="ConsPlusNonformat Знак"/>
    <w:next w:val="628"/>
    <w:link w:val="623"/>
    <w:rPr>
      <w:rFonts w:ascii="Courier New" w:hAnsi="Courier New" w:cs="Courier New"/>
      <w:lang w:val="ru-RU" w:eastAsia="ru-RU" w:bidi="ar-SA"/>
    </w:rPr>
  </w:style>
  <w:style w:type="paragraph" w:styleId="629">
    <w:name w:val="ConsPlusNormal"/>
    <w:next w:val="629"/>
    <w:link w:val="617"/>
    <w:pPr>
      <w:widowControl w:val="off"/>
    </w:pPr>
    <w:rPr>
      <w:rFonts w:ascii="Arial" w:hAnsi="Arial" w:cs="Arial"/>
      <w:lang w:val="ru-RU" w:eastAsia="ru-RU" w:bidi="ar-SA"/>
    </w:rPr>
  </w:style>
  <w:style w:type="character" w:styleId="630">
    <w:name w:val="Заголовок 2 Знак"/>
    <w:next w:val="630"/>
    <w:link w:val="61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631">
    <w:name w:val="Без интервала"/>
    <w:next w:val="631"/>
    <w:link w:val="617"/>
    <w:uiPriority w:val="1"/>
    <w:qFormat/>
    <w:rPr>
      <w:rFonts w:ascii="Calibri" w:hAnsi="Calibri" w:eastAsia="Calibri" w:cs="Calibri"/>
      <w:sz w:val="22"/>
      <w:szCs w:val="22"/>
      <w:lang w:val="ru-RU" w:eastAsia="zh-CN" w:bidi="ar-SA"/>
    </w:rPr>
  </w:style>
  <w:style w:type="character" w:styleId="989" w:default="1">
    <w:name w:val="Default Paragraph Font"/>
    <w:uiPriority w:val="1"/>
    <w:semiHidden/>
    <w:unhideWhenUsed/>
  </w:style>
  <w:style w:type="numbering" w:styleId="990" w:default="1">
    <w:name w:val="No List"/>
    <w:uiPriority w:val="99"/>
    <w:semiHidden/>
    <w:unhideWhenUsed/>
  </w:style>
  <w:style w:type="table" w:styleId="9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НВМУ по технологическому и экологическому надзору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(наименование органа государственного контроля (надзора)</dc:title>
  <dc:creator>mirev</dc:creator>
  <cp:lastModifiedBy>user</cp:lastModifiedBy>
  <cp:revision>21</cp:revision>
  <dcterms:created xsi:type="dcterms:W3CDTF">2013-09-04T09:05:00Z</dcterms:created>
  <dcterms:modified xsi:type="dcterms:W3CDTF">2026-08-03T10:49:06Z</dcterms:modified>
  <cp:version>917504</cp:version>
</cp:coreProperties>
</file>