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User"/>
        <w:jc w:val="right"/>
        <w:rPr>
          <w:rFonts w:ascii="Times New Roman" w:hAnsi="Times New Roman"/>
        </w:rPr>
      </w:pPr>
      <w:r>
        <w:tab/>
        <w:tab/>
        <w:tab/>
        <w:tab/>
        <w:tab/>
        <w:tab/>
        <w:tab/>
        <w:tab/>
        <w:tab/>
      </w:r>
      <w:r>
        <w:rPr>
          <w:rFonts w:ascii="Times New Roman" w:hAnsi="Times New Roman"/>
        </w:rPr>
        <w:t xml:space="preserve">Приложение</w:t>
      </w:r>
      <w:r>
        <w:rPr>
          <w:rFonts w:ascii="Times New Roman" w:hAnsi="Times New Roman"/>
        </w:rPr>
        <w:t xml:space="preserve"> №</w:t>
      </w:r>
      <w:r>
        <w:rPr>
          <w:rFonts w:ascii="Times New Roman" w:hAnsi="Times New Roman"/>
        </w:rPr>
        <w:t xml:space="preserve"> </w:t>
      </w:r>
      <w:r>
        <w:rPr>
          <w:rFonts w:ascii="Times New Roman" w:hAnsi="Times New Roman"/>
        </w:rPr>
        <w:t xml:space="preserve">1</w:t>
      </w:r>
      <w:r>
        <w:rPr>
          <w:rFonts w:ascii="Times New Roman" w:hAnsi="Times New Roman"/>
        </w:rPr>
        <w:t xml:space="preserve"> к </w:t>
      </w:r>
      <w:r>
        <w:rPr>
          <w:rFonts w:ascii="Times New Roman" w:hAnsi="Times New Roman"/>
        </w:rPr>
        <w:t xml:space="preserve">программе</w:t>
      </w:r>
      <w:r>
        <w:rPr>
          <w:rFonts w:ascii="Times New Roman" w:hAnsi="Times New Roman"/>
        </w:rPr>
        <w:t xml:space="preserve"> </w:t>
      </w:r>
      <w:r>
        <w:rPr>
          <w:rFonts w:ascii="Times New Roman" w:hAnsi="Times New Roman"/>
        </w:rPr>
        <w:t xml:space="preserve">проведения оценки обеспечения </w:t>
      </w:r>
    </w:p>
    <w:p>
      <w:pPr>
        <w:pStyle w:val="User"/>
        <w:jc w:val="right"/>
        <w:rPr>
          <w:rFonts w:ascii="Times New Roman" w:hAnsi="Times New Roman"/>
        </w:rPr>
      </w:pPr>
      <w:r>
        <w:rPr>
          <w:rFonts w:ascii="Times New Roman" w:hAnsi="Times New Roman"/>
        </w:rPr>
        <w:t xml:space="preserve">готовности</w:t>
      </w:r>
      <w:r>
        <w:rPr>
          <w:rFonts w:ascii="Times New Roman" w:hAnsi="Times New Roman"/>
        </w:rPr>
        <w:t xml:space="preserve"> </w:t>
      </w:r>
      <w:r>
        <w:rPr>
          <w:rFonts w:ascii="Times New Roman" w:hAnsi="Times New Roman"/>
        </w:rPr>
        <w:t xml:space="preserve">муниципальных образований</w:t>
      </w:r>
      <w:r>
        <w:rPr>
          <w:rFonts w:ascii="Times New Roman" w:hAnsi="Times New Roman"/>
        </w:rPr>
      </w:r>
    </w:p>
    <w:p>
      <w:pPr>
        <w:pStyle w:val="User"/>
        <w:jc w:val="right"/>
        <w:rPr>
          <w:rFonts w:ascii="Times New Roman" w:hAnsi="Times New Roman"/>
        </w:rPr>
      </w:pPr>
      <w:r>
        <w:rPr>
          <w:rFonts w:ascii="Times New Roman" w:hAnsi="Times New Roman"/>
        </w:rPr>
        <w:t xml:space="preserve">к отопительному периоду</w:t>
      </w:r>
    </w:p>
    <w:p>
      <w:pPr>
        <w:pStyle w:val="Normal"/>
        <w:tabs>
          <w:tab w:val="left" w:pos="3394" w:leader="none"/>
        </w:tabs>
        <w:spacing w:line="360" w:lineRule="auto"/>
        <w:jc w:val="center"/>
        <w:rPr>
          <w:rFonts w:ascii="Times New Roman" w:hAnsi="Times New Roman"/>
          <w:sz w:val="28"/>
          <w:szCs w:val="28"/>
          <w:u w:val="single"/>
        </w:rPr>
      </w:pPr>
      <w:r>
        <w:rPr>
          <w:rFonts w:ascii="Times New Roman" w:hAnsi="Times New Roman"/>
          <w:sz w:val="28"/>
          <w:szCs w:val="28"/>
          <w:u w:val="single"/>
        </w:rPr>
        <w:t xml:space="preserve">При проведении </w:t>
      </w:r>
      <w:r>
        <w:rPr>
          <w:rFonts w:ascii="Times New Roman" w:hAnsi="Times New Roman"/>
          <w:sz w:val="28"/>
          <w:szCs w:val="28"/>
          <w:u w:val="single"/>
        </w:rPr>
        <w:t xml:space="preserve">оценки</w:t>
      </w:r>
      <w:r>
        <w:rPr>
          <w:rFonts w:ascii="Times New Roman" w:hAnsi="Times New Roman"/>
          <w:sz w:val="28"/>
          <w:szCs w:val="28"/>
          <w:u w:val="single"/>
        </w:rPr>
        <w:t xml:space="preserve"> проверяются следующие вопросы:</w:t>
      </w:r>
      <w:r>
        <w:rPr>
          <w:rFonts w:ascii="Times New Roman" w:hAnsi="Times New Roman"/>
          <w:sz w:val="28"/>
          <w:szCs w:val="28"/>
          <w:u w:val="single"/>
        </w:rPr>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1. Н</w:t>
      </w:r>
      <w:r>
        <w:rPr>
          <w:rFonts w:ascii="Times New Roman" w:hAnsi="Times New Roman"/>
          <w:sz w:val="28"/>
          <w:szCs w:val="28"/>
        </w:rPr>
        <w:t xml:space="preserve">аличие </w:t>
      </w:r>
      <w:r>
        <w:rPr>
          <w:rFonts w:ascii="Times New Roman" w:hAnsi="Times New Roman"/>
          <w:sz w:val="28"/>
          <w:szCs w:val="28"/>
        </w:rPr>
        <w:t xml:space="preserve">поряд</w:t>
      </w:r>
      <w:r>
        <w:rPr>
          <w:rFonts w:ascii="Times New Roman" w:hAnsi="Times New Roman"/>
          <w:sz w:val="28"/>
          <w:szCs w:val="28"/>
        </w:rPr>
        <w:t xml:space="preserve">ка</w:t>
      </w:r>
      <w:r>
        <w:rPr>
          <w:rFonts w:ascii="Times New Roman" w:hAnsi="Times New Roman"/>
          <w:sz w:val="28"/>
          <w:szCs w:val="28"/>
        </w:rPr>
        <w:t xml:space="preserve"> (план</w:t>
      </w:r>
      <w:r>
        <w:rPr>
          <w:rFonts w:ascii="Times New Roman" w:hAnsi="Times New Roman"/>
          <w:sz w:val="28"/>
          <w:szCs w:val="28"/>
        </w:rPr>
        <w:t xml:space="preserve">а</w:t>
      </w:r>
      <w:r>
        <w:rPr>
          <w:rFonts w:ascii="Times New Roman" w:hAnsi="Times New Roman"/>
          <w:sz w:val="28"/>
          <w:szCs w:val="28"/>
        </w:rPr>
        <w:t xml:space="preserve">) действий по ликвидации последствий аварийных ситуаций в сфере теплоснабжения в муниципальном образовании, утвержденный и ежегодно актуализируемый органом местного самоуправления (в том числе с применением электронного моделирования аварийных ситуаций)</w:t>
      </w:r>
      <w:r>
        <w:rPr>
          <w:rFonts w:ascii="Times New Roman" w:hAnsi="Times New Roman"/>
          <w:sz w:val="28"/>
          <w:szCs w:val="28"/>
        </w:rPr>
        <w:t xml:space="preserve">;</w:t>
      </w:r>
      <w:r>
        <w:rPr>
          <w:rFonts w:ascii="Times New Roman" w:hAnsi="Times New Roman"/>
          <w:sz w:val="28"/>
          <w:szCs w:val="28"/>
        </w:rPr>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2. Наличие </w:t>
      </w:r>
      <w:r>
        <w:rPr>
          <w:rFonts w:ascii="Times New Roman" w:hAnsi="Times New Roman"/>
          <w:sz w:val="28"/>
          <w:szCs w:val="28"/>
        </w:rPr>
        <w:t xml:space="preserve">утвержденн</w:t>
      </w:r>
      <w:r>
        <w:rPr>
          <w:rFonts w:ascii="Times New Roman" w:hAnsi="Times New Roman"/>
          <w:sz w:val="28"/>
          <w:szCs w:val="28"/>
        </w:rPr>
        <w:t xml:space="preserve">ой</w:t>
      </w:r>
      <w:r>
        <w:rPr>
          <w:rFonts w:ascii="Times New Roman" w:hAnsi="Times New Roman"/>
          <w:sz w:val="28"/>
          <w:szCs w:val="28"/>
        </w:rPr>
        <w:t xml:space="preserve"> актуализированн</w:t>
      </w:r>
      <w:r>
        <w:rPr>
          <w:rFonts w:ascii="Times New Roman" w:hAnsi="Times New Roman"/>
          <w:sz w:val="28"/>
          <w:szCs w:val="28"/>
        </w:rPr>
        <w:t xml:space="preserve">ой</w:t>
      </w:r>
      <w:r>
        <w:rPr>
          <w:rFonts w:ascii="Times New Roman" w:hAnsi="Times New Roman"/>
          <w:sz w:val="28"/>
          <w:szCs w:val="28"/>
        </w:rPr>
        <w:t xml:space="preserve"> схем</w:t>
      </w:r>
      <w:r>
        <w:rPr>
          <w:rFonts w:ascii="Times New Roman" w:hAnsi="Times New Roman"/>
          <w:sz w:val="28"/>
          <w:szCs w:val="28"/>
        </w:rPr>
        <w:t xml:space="preserve">ы теплоснабжения;</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3</w:t>
      </w:r>
      <w:r>
        <w:rPr>
          <w:rFonts w:ascii="Times New Roman" w:hAnsi="Times New Roman"/>
          <w:sz w:val="28"/>
          <w:szCs w:val="28"/>
        </w:rPr>
        <w:t xml:space="preserve">. </w:t>
      </w:r>
      <w:r>
        <w:rPr>
          <w:rFonts w:ascii="Times New Roman" w:hAnsi="Times New Roman"/>
          <w:sz w:val="28"/>
          <w:szCs w:val="28"/>
        </w:rPr>
        <w:t xml:space="preserve">О</w:t>
      </w:r>
      <w:r>
        <w:rPr>
          <w:rFonts w:ascii="Times New Roman" w:hAnsi="Times New Roman"/>
          <w:sz w:val="28"/>
          <w:szCs w:val="28"/>
        </w:rPr>
        <w:t xml:space="preserve">беспеч</w:t>
      </w:r>
      <w:r>
        <w:rPr>
          <w:rFonts w:ascii="Times New Roman" w:hAnsi="Times New Roman"/>
          <w:sz w:val="28"/>
          <w:szCs w:val="28"/>
        </w:rPr>
        <w:t xml:space="preserve">ение</w:t>
      </w:r>
      <w:r>
        <w:rPr>
          <w:rFonts w:ascii="Times New Roman" w:hAnsi="Times New Roman"/>
          <w:sz w:val="28"/>
          <w:szCs w:val="28"/>
        </w:rPr>
        <w:t xml:space="preserve"> подготовк</w:t>
      </w:r>
      <w:r>
        <w:rPr>
          <w:rFonts w:ascii="Times New Roman" w:hAnsi="Times New Roman"/>
          <w:sz w:val="28"/>
          <w:szCs w:val="28"/>
        </w:rPr>
        <w:t xml:space="preserve">и</w:t>
      </w:r>
      <w:r>
        <w:rPr>
          <w:rFonts w:ascii="Times New Roman" w:hAnsi="Times New Roman"/>
          <w:sz w:val="28"/>
          <w:szCs w:val="28"/>
        </w:rPr>
        <w:t xml:space="preserve"> к отопительному периоду бесхозяйных объектов теплоснабжения, в отношении которых не определена организация по содержанию и обслуживанию</w:t>
      </w:r>
      <w:r>
        <w:rPr>
          <w:rFonts w:ascii="Times New Roman" w:hAnsi="Times New Roman"/>
          <w:sz w:val="28"/>
          <w:szCs w:val="28"/>
        </w:rPr>
        <w:t xml:space="preserve">, в т. ч.:</w:t>
      </w:r>
      <w:r>
        <w:rPr>
          <w:rFonts w:ascii="Times New Roman" w:hAnsi="Times New Roman"/>
          <w:sz w:val="28"/>
          <w:szCs w:val="28"/>
        </w:rPr>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в</w:t>
      </w:r>
      <w:r>
        <w:rPr>
          <w:rFonts w:ascii="Times New Roman" w:hAnsi="Times New Roman"/>
          <w:sz w:val="28"/>
          <w:szCs w:val="28"/>
        </w:rPr>
        <w:t xml:space="preserve">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r>
        <w:rPr>
          <w:rFonts w:ascii="Times New Roman" w:hAnsi="Times New Roman"/>
          <w:sz w:val="28"/>
          <w:szCs w:val="28"/>
        </w:rPr>
        <w:t xml:space="preserve">;</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у</w:t>
      </w:r>
      <w:r>
        <w:rPr>
          <w:rFonts w:ascii="Times New Roman" w:hAnsi="Times New Roman"/>
          <w:sz w:val="28"/>
          <w:szCs w:val="28"/>
        </w:rPr>
        <w:t xml:space="preserve">твержденное положение о диспетчерской службе или распорядительный документ организации о назначении лица, ответственного за диспетчерское управление</w:t>
      </w:r>
      <w:r>
        <w:rPr>
          <w:rFonts w:ascii="Times New Roman" w:hAnsi="Times New Roman"/>
          <w:sz w:val="28"/>
          <w:szCs w:val="28"/>
        </w:rPr>
        <w:t xml:space="preserve">;</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о</w:t>
      </w:r>
      <w:r>
        <w:rPr>
          <w:rFonts w:ascii="Times New Roman" w:hAnsi="Times New Roman"/>
          <w:sz w:val="28"/>
          <w:szCs w:val="28"/>
        </w:rPr>
        <w:t xml:space="preserve">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и (или) перечня документации эксплуатирующей организации для объектов, не являющихся ОПО</w:t>
      </w:r>
      <w:r>
        <w:rPr>
          <w:rFonts w:ascii="Times New Roman" w:hAnsi="Times New Roman"/>
          <w:sz w:val="28"/>
          <w:szCs w:val="28"/>
        </w:rPr>
        <w:t xml:space="preserve">;</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у</w:t>
      </w:r>
      <w:r>
        <w:rPr>
          <w:rFonts w:ascii="Times New Roman" w:hAnsi="Times New Roman"/>
          <w:sz w:val="28"/>
          <w:szCs w:val="28"/>
        </w:rPr>
        <w:t xml:space="preserve">твержденные эксплуатационные инструкции объектов теплоснабжения и (или) производственные инструкции</w:t>
      </w:r>
      <w:r>
        <w:rPr>
          <w:rFonts w:ascii="Times New Roman" w:hAnsi="Times New Roman"/>
          <w:sz w:val="28"/>
          <w:szCs w:val="28"/>
        </w:rPr>
        <w:t xml:space="preserve">;</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к</w:t>
      </w:r>
      <w:r>
        <w:rPr>
          <w:rFonts w:ascii="Times New Roman" w:hAnsi="Times New Roman"/>
          <w:sz w:val="28"/>
          <w:szCs w:val="28"/>
        </w:rPr>
        <w:t xml:space="preserve">опии удостоверений о проверке знаний или журнала проверки знаний, протоколов проверки знаний, в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 работников и руководителей</w:t>
      </w:r>
      <w:r>
        <w:rPr>
          <w:rFonts w:ascii="Times New Roman" w:hAnsi="Times New Roman"/>
          <w:sz w:val="28"/>
          <w:szCs w:val="28"/>
        </w:rPr>
        <w:t xml:space="preserve">;</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к</w:t>
      </w:r>
      <w:r>
        <w:rPr>
          <w:rFonts w:ascii="Times New Roman" w:hAnsi="Times New Roman"/>
          <w:sz w:val="28"/>
          <w:szCs w:val="28"/>
        </w:rPr>
        <w:t xml:space="preserve">опии документов, подтверждающих проведение обучения работников действиям в случае аварии или инцидента на опасном производственном объекте</w:t>
      </w:r>
      <w:r>
        <w:rPr>
          <w:rFonts w:ascii="Times New Roman" w:hAnsi="Times New Roman"/>
          <w:sz w:val="28"/>
          <w:szCs w:val="28"/>
        </w:rPr>
        <w:t xml:space="preserve">;</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о</w:t>
      </w:r>
      <w:r>
        <w:rPr>
          <w:rFonts w:ascii="Times New Roman" w:hAnsi="Times New Roman"/>
          <w:sz w:val="28"/>
          <w:szCs w:val="28"/>
        </w:rPr>
        <w:t xml:space="preserve">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w:t>
      </w:r>
      <w:r>
        <w:rPr>
          <w:rFonts w:ascii="Times New Roman" w:hAnsi="Times New Roman"/>
          <w:sz w:val="28"/>
          <w:szCs w:val="28"/>
        </w:rPr>
        <w:t xml:space="preserve">ние производственного контроля;</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у</w:t>
      </w:r>
      <w:r>
        <w:rPr>
          <w:rFonts w:ascii="Times New Roman" w:hAnsi="Times New Roman"/>
          <w:sz w:val="28"/>
          <w:szCs w:val="28"/>
        </w:rPr>
        <w:t xml:space="preserve">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r>
        <w:rPr>
          <w:rFonts w:ascii="Times New Roman" w:hAnsi="Times New Roman"/>
          <w:sz w:val="28"/>
          <w:szCs w:val="28"/>
        </w:rPr>
        <w:t xml:space="preserve">;</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к</w:t>
      </w:r>
      <w:r>
        <w:rPr>
          <w:rFonts w:ascii="Times New Roman" w:hAnsi="Times New Roman"/>
          <w:sz w:val="28"/>
          <w:szCs w:val="28"/>
        </w:rPr>
        <w:t xml:space="preserve">опии утвержденных программ противоаварийных тренировок, журналов, подтверждающих проведение тренировок согласно утвержденной програ</w:t>
      </w:r>
      <w:r>
        <w:rPr>
          <w:rFonts w:ascii="Times New Roman" w:hAnsi="Times New Roman"/>
          <w:sz w:val="28"/>
          <w:szCs w:val="28"/>
        </w:rPr>
        <w:t xml:space="preserve">мме противоаварийных тренировок;</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у</w:t>
      </w:r>
      <w:r>
        <w:rPr>
          <w:rFonts w:ascii="Times New Roman" w:hAnsi="Times New Roman"/>
          <w:sz w:val="28"/>
          <w:szCs w:val="28"/>
        </w:rPr>
        <w:t xml:space="preserve">твержденные температурные графики, гидравлические режимы работы системы теплоснабжения на предстоящий отопительный период, а также копии эксплуатационных инструкций по ведению и контролю режимо</w:t>
      </w:r>
      <w:r>
        <w:rPr>
          <w:rFonts w:ascii="Times New Roman" w:hAnsi="Times New Roman"/>
          <w:sz w:val="28"/>
          <w:szCs w:val="28"/>
        </w:rPr>
        <w:t xml:space="preserve">в работы системы теплоснабжения;</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к</w:t>
      </w:r>
      <w:r>
        <w:rPr>
          <w:rFonts w:ascii="Times New Roman" w:hAnsi="Times New Roman"/>
          <w:sz w:val="28"/>
          <w:szCs w:val="28"/>
        </w:rPr>
        <w:t xml:space="preserve">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w:t>
      </w:r>
      <w:r>
        <w:rPr>
          <w:rFonts w:ascii="Times New Roman" w:hAnsi="Times New Roman"/>
          <w:sz w:val="28"/>
          <w:szCs w:val="28"/>
        </w:rPr>
        <w:t xml:space="preserve">;</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р</w:t>
      </w:r>
      <w:r>
        <w:rPr>
          <w:rFonts w:ascii="Times New Roman" w:hAnsi="Times New Roman"/>
          <w:sz w:val="28"/>
          <w:szCs w:val="28"/>
        </w:rPr>
        <w:t xml:space="preserve">азработанный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r>
        <w:rPr>
          <w:rFonts w:ascii="Times New Roman" w:hAnsi="Times New Roman"/>
          <w:sz w:val="28"/>
          <w:szCs w:val="28"/>
        </w:rPr>
        <w:t xml:space="preserve">;</w:t>
      </w:r>
      <w:r>
        <w:rPr>
          <w:rFonts w:ascii="Times New Roman" w:hAnsi="Times New Roman"/>
          <w:sz w:val="28"/>
          <w:szCs w:val="28"/>
        </w:rPr>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к</w:t>
      </w:r>
      <w:r>
        <w:rPr>
          <w:rFonts w:ascii="Times New Roman" w:hAnsi="Times New Roman"/>
          <w:sz w:val="28"/>
          <w:szCs w:val="28"/>
        </w:rPr>
        <w:t xml:space="preserve">опии паспортов паровых и (или) водогрейных котельных установок, центральных тепловых пунктов и оборудования, работающего под избыточным давлением</w:t>
      </w:r>
      <w:r>
        <w:rPr>
          <w:rFonts w:ascii="Times New Roman" w:hAnsi="Times New Roman"/>
          <w:sz w:val="28"/>
          <w:szCs w:val="28"/>
        </w:rPr>
        <w:t xml:space="preserve">;</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к</w:t>
      </w:r>
      <w:r>
        <w:rPr>
          <w:rFonts w:ascii="Times New Roman" w:hAnsi="Times New Roman"/>
          <w:sz w:val="28"/>
          <w:szCs w:val="28"/>
        </w:rPr>
        <w:t xml:space="preserve">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r>
        <w:rPr>
          <w:rFonts w:ascii="Times New Roman" w:hAnsi="Times New Roman"/>
          <w:sz w:val="28"/>
          <w:szCs w:val="28"/>
        </w:rPr>
        <w:t xml:space="preserve">;</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а</w:t>
      </w:r>
      <w:r>
        <w:rPr>
          <w:rFonts w:ascii="Times New Roman" w:hAnsi="Times New Roman"/>
          <w:sz w:val="28"/>
          <w:szCs w:val="28"/>
        </w:rPr>
        <w:t xml:space="preserve">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r>
        <w:rPr>
          <w:rFonts w:ascii="Times New Roman" w:hAnsi="Times New Roman"/>
          <w:sz w:val="28"/>
          <w:szCs w:val="28"/>
        </w:rPr>
        <w:t xml:space="preserve">;</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а</w:t>
      </w:r>
      <w:r>
        <w:rPr>
          <w:rFonts w:ascii="Times New Roman" w:hAnsi="Times New Roman"/>
          <w:sz w:val="28"/>
          <w:szCs w:val="28"/>
        </w:rPr>
        <w:t xml:space="preserve">кты проведения гидравлических испытаний на прочность и плотность трубопроводов тепловых сетей</w:t>
      </w:r>
      <w:r>
        <w:rPr>
          <w:rFonts w:ascii="Times New Roman" w:hAnsi="Times New Roman"/>
          <w:sz w:val="28"/>
          <w:szCs w:val="28"/>
        </w:rPr>
        <w:t xml:space="preserve">;</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д</w:t>
      </w:r>
      <w:r>
        <w:rPr>
          <w:rFonts w:ascii="Times New Roman" w:hAnsi="Times New Roman"/>
          <w:sz w:val="28"/>
          <w:szCs w:val="28"/>
        </w:rPr>
        <w:t xml:space="preserve">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r>
      <w:r>
        <w:rPr>
          <w:rFonts w:ascii="Times New Roman" w:hAnsi="Times New Roman"/>
          <w:sz w:val="28"/>
          <w:szCs w:val="28"/>
        </w:rPr>
        <w:t xml:space="preserve">;</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а</w:t>
      </w:r>
      <w:r>
        <w:rPr>
          <w:rFonts w:ascii="Times New Roman" w:hAnsi="Times New Roman"/>
          <w:sz w:val="28"/>
          <w:szCs w:val="28"/>
        </w:rPr>
        <w:t xml:space="preserve">кты о проведении очистки и промывки тепловых сетей, тепловых пунктов</w:t>
      </w:r>
      <w:r>
        <w:rPr>
          <w:rFonts w:ascii="Times New Roman" w:hAnsi="Times New Roman"/>
          <w:sz w:val="28"/>
          <w:szCs w:val="28"/>
        </w:rPr>
        <w:t xml:space="preserve">;</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т</w:t>
      </w:r>
      <w:r>
        <w:rPr>
          <w:rFonts w:ascii="Times New Roman" w:hAnsi="Times New Roman"/>
          <w:sz w:val="28"/>
          <w:szCs w:val="28"/>
        </w:rPr>
        <w:t xml:space="preserve">ехнические отчеты о проведении режимно-наладочных испытаний объектов теплоснабжения, утвержденные режимные карты</w:t>
      </w:r>
      <w:r>
        <w:rPr>
          <w:rFonts w:ascii="Times New Roman" w:hAnsi="Times New Roman"/>
          <w:sz w:val="28"/>
          <w:szCs w:val="28"/>
        </w:rPr>
        <w:t xml:space="preserve">;</w:t>
      </w:r>
      <w:r>
        <w:rPr>
          <w:rFonts w:ascii="Times New Roman" w:hAnsi="Times New Roman"/>
          <w:sz w:val="28"/>
          <w:szCs w:val="28"/>
        </w:rPr>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а</w:t>
      </w:r>
      <w:r>
        <w:rPr>
          <w:rFonts w:ascii="Times New Roman" w:hAnsi="Times New Roman"/>
          <w:sz w:val="28"/>
          <w:szCs w:val="28"/>
        </w:rPr>
        <w:t xml:space="preserve">кт измерений удельного электрического сопротивления грунта и потенциалов блуждающих токов</w:t>
      </w:r>
      <w:r>
        <w:rPr>
          <w:rFonts w:ascii="Times New Roman" w:hAnsi="Times New Roman"/>
          <w:sz w:val="28"/>
          <w:szCs w:val="28"/>
        </w:rPr>
        <w:t xml:space="preserve">;</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а</w:t>
      </w:r>
      <w:r>
        <w:rPr>
          <w:rFonts w:ascii="Times New Roman" w:hAnsi="Times New Roman"/>
          <w:sz w:val="28"/>
          <w:szCs w:val="28"/>
        </w:rPr>
        <w:t xml:space="preserve">кт опробования работоспособности оборудования насосных станций</w:t>
      </w:r>
      <w:r>
        <w:rPr>
          <w:rFonts w:ascii="Times New Roman" w:hAnsi="Times New Roman"/>
          <w:sz w:val="28"/>
          <w:szCs w:val="28"/>
        </w:rPr>
        <w:t xml:space="preserve">;</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у</w:t>
      </w:r>
      <w:r>
        <w:rPr>
          <w:rFonts w:ascii="Times New Roman" w:hAnsi="Times New Roman"/>
          <w:sz w:val="28"/>
          <w:szCs w:val="28"/>
        </w:rPr>
        <w:t xml:space="preserve">твержденный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w:t>
      </w:r>
      <w:r>
        <w:rPr>
          <w:rFonts w:ascii="Times New Roman" w:hAnsi="Times New Roman"/>
          <w:sz w:val="28"/>
          <w:szCs w:val="28"/>
        </w:rPr>
        <w:t xml:space="preserve">ых (аварийных) ремонтных работ;</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r>
        <w:rPr>
          <w:rFonts w:ascii="Times New Roman" w:hAnsi="Times New Roman"/>
          <w:sz w:val="28"/>
          <w:szCs w:val="28"/>
        </w:rPr>
        <w:t xml:space="preserve">;</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у</w:t>
      </w:r>
      <w:r>
        <w:rPr>
          <w:rFonts w:ascii="Times New Roman" w:hAnsi="Times New Roman"/>
          <w:sz w:val="28"/>
          <w:szCs w:val="28"/>
        </w:rPr>
        <w:t xml:space="preserve">твержденный порядок (план) действий по ликвидации последствий аварийных ситуаций в сфере теплоснабжения, устанавливающие действия работников в аварийных ситуациях (в том числе при аварии).</w:t>
      </w:r>
      <w:r>
        <w:rPr>
          <w:rFonts w:ascii="Times New Roman" w:hAnsi="Times New Roman"/>
          <w:sz w:val="28"/>
          <w:szCs w:val="28"/>
        </w:rPr>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4. </w:t>
      </w:r>
      <w:r>
        <w:rPr>
          <w:rFonts w:ascii="Times New Roman" w:hAnsi="Times New Roman"/>
          <w:sz w:val="28"/>
          <w:szCs w:val="28"/>
        </w:rPr>
        <w:t xml:space="preserve">Осуществ</w:t>
      </w:r>
      <w:r>
        <w:rPr>
          <w:rFonts w:ascii="Times New Roman" w:hAnsi="Times New Roman"/>
          <w:sz w:val="28"/>
          <w:szCs w:val="28"/>
        </w:rPr>
        <w:t xml:space="preserve">ление</w:t>
      </w:r>
      <w:r>
        <w:rPr>
          <w:rFonts w:ascii="Times New Roman" w:hAnsi="Times New Roman"/>
          <w:sz w:val="28"/>
          <w:szCs w:val="28"/>
        </w:rPr>
        <w:t xml:space="preserve"> оценк</w:t>
      </w:r>
      <w:r>
        <w:rPr>
          <w:rFonts w:ascii="Times New Roman" w:hAnsi="Times New Roman"/>
          <w:sz w:val="28"/>
          <w:szCs w:val="28"/>
        </w:rPr>
        <w:t xml:space="preserve">и</w:t>
      </w:r>
      <w:r>
        <w:rPr>
          <w:rFonts w:ascii="Times New Roman" w:hAnsi="Times New Roman"/>
          <w:sz w:val="28"/>
          <w:szCs w:val="28"/>
        </w:rPr>
        <w:t xml:space="preserve"> обеспечения готовности к отопительному периоду</w:t>
      </w:r>
      <w:r>
        <w:rPr>
          <w:rFonts w:ascii="Times New Roman" w:hAnsi="Times New Roman"/>
          <w:sz w:val="28"/>
          <w:szCs w:val="28"/>
        </w:rPr>
        <w:t xml:space="preserve">:</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теплоснабжающих и теплосетевых организаций;</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в том числе владельцы встроенных и встроенно-пристроенных нежилых помещений в многоквартирных домах, чьи теплопотребляющие установки подключены (технологически присоединены) к системе теплоснабжения по отдельному тепловому вводу, - в отношении теплопотребляющих установок, инженерных коммуникаций (в том числе тепловых сетей при наличии таких сетей), принадлежащих указанным лицам на праве собственности или ином законном основании, за исключением теплопотребляющих установок и инженерных коммуникаций жилых домов (домовладений);</w:t>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 в части теплопотребляющих установок, инженерных коммуникаций (в том числе тепловые сети при наличии таких сетей) и иного общедомового имущества, обслуживающего более одного жилого и (или)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статьи 161 Жилищного кодекса Российской Федерации;</w:t>
      </w:r>
      <w:r>
        <w:rPr>
          <w:rFonts w:ascii="Times New Roman" w:hAnsi="Times New Roman"/>
          <w:sz w:val="28"/>
          <w:szCs w:val="28"/>
        </w:rPr>
      </w:r>
    </w:p>
    <w:p>
      <w:pPr>
        <w:pStyle w:val="Normal"/>
        <w:tabs>
          <w:tab w:val="left" w:pos="3394" w:leader="none"/>
        </w:tabs>
        <w:spacing w:line="360" w:lineRule="auto"/>
        <w:jc w:val="both"/>
        <w:rPr>
          <w:rFonts w:ascii="Times New Roman" w:hAnsi="Times New Roman"/>
          <w:sz w:val="28"/>
          <w:szCs w:val="28"/>
        </w:rPr>
      </w:pPr>
      <w:r>
        <w:rPr>
          <w:rFonts w:ascii="Times New Roman" w:hAnsi="Times New Roman"/>
          <w:sz w:val="28"/>
          <w:szCs w:val="28"/>
        </w:rPr>
        <w:t xml:space="preserve">- в</w:t>
      </w:r>
      <w:r>
        <w:rPr>
          <w:rFonts w:ascii="Times New Roman" w:hAnsi="Times New Roman"/>
          <w:sz w:val="28"/>
          <w:szCs w:val="28"/>
        </w:rPr>
        <w:t xml:space="preserve">ладельцев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Федерации от 8 августа 2012 г. N 808 (далее - Правила N 808), и которые осуществляют передачу тепловой энергии потребителям, теплопотребляющие установки которых присоединены к их тепловым сетям, или в сети теплосетевых организаций (далее - владельцы тепловых сетей, не являющиеся теплосетевыми организациями)</w:t>
      </w:r>
      <w:r>
        <w:rPr>
          <w:rFonts w:ascii="Times New Roman" w:hAnsi="Times New Roman"/>
          <w:sz w:val="28"/>
          <w:szCs w:val="28"/>
        </w:rPr>
        <w:t xml:space="preserve">.</w:t>
      </w:r>
    </w:p>
    <w:sectPr>
      <w:type w:val="nextPag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6030504020204"/>
  </w:font>
  <w:font w:name="Times New Roman">
    <w:panose1 w:val="02020603050405020304"/>
  </w:font>
  <w:font w:name="Calibri">
    <w:panose1 w:val="020F0502020204030204"/>
  </w:font>
  <w:font w:name="Cambria">
    <w:panose1 w:val="020405030504060302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4"/>
      <w:numFmt w:val="decimal"/>
      <w:suff w:val="tab"/>
      <w:lvlText w:val="%1."/>
      <w:lvlJc w:val="left"/>
      <w:pPr>
        <w:pStyle w:val="Normal"/>
        <w:ind w:left="675" w:hanging="675"/>
      </w:pPr>
    </w:lvl>
    <w:lvl w:ilvl="1">
      <w:start w:val="1"/>
      <w:numFmt w:val="decimal"/>
      <w:suff w:val="tab"/>
      <w:lvlText w:val="%1.%2."/>
      <w:lvlJc w:val="left"/>
      <w:pPr>
        <w:pStyle w:val="Normal"/>
        <w:ind w:left="900" w:hanging="720"/>
      </w:pPr>
    </w:lvl>
    <w:lvl w:ilvl="2">
      <w:start w:val="2"/>
      <w:numFmt w:val="decimal"/>
      <w:suff w:val="tab"/>
      <w:lvlText w:val="%1.%2.%3."/>
      <w:lvlJc w:val="left"/>
      <w:pPr>
        <w:pStyle w:val="Normal"/>
        <w:ind w:left="1080" w:hanging="720"/>
      </w:pPr>
    </w:lvl>
    <w:lvl w:ilvl="3">
      <w:start w:val="1"/>
      <w:numFmt w:val="decimal"/>
      <w:suff w:val="tab"/>
      <w:lvlText w:val="%1.%2.%3.%4."/>
      <w:lvlJc w:val="left"/>
      <w:pPr>
        <w:pStyle w:val="Normal"/>
        <w:ind w:left="1620" w:hanging="1080"/>
      </w:pPr>
    </w:lvl>
    <w:lvl w:ilvl="4">
      <w:start w:val="1"/>
      <w:numFmt w:val="decimal"/>
      <w:suff w:val="tab"/>
      <w:lvlText w:val="%1.%2.%3.%4.%5."/>
      <w:lvlJc w:val="left"/>
      <w:pPr>
        <w:pStyle w:val="Normal"/>
        <w:ind w:left="1800" w:hanging="1080"/>
      </w:pPr>
    </w:lvl>
    <w:lvl w:ilvl="5">
      <w:start w:val="1"/>
      <w:numFmt w:val="decimal"/>
      <w:suff w:val="tab"/>
      <w:lvlText w:val="%1.%2.%3.%4.%5.%6."/>
      <w:lvlJc w:val="left"/>
      <w:pPr>
        <w:pStyle w:val="Normal"/>
        <w:ind w:left="2340" w:hanging="1440"/>
      </w:pPr>
    </w:lvl>
    <w:lvl w:ilvl="6">
      <w:start w:val="1"/>
      <w:numFmt w:val="decimal"/>
      <w:suff w:val="tab"/>
      <w:lvlText w:val="%1.%2.%3.%4.%5.%6.%7."/>
      <w:lvlJc w:val="left"/>
      <w:pPr>
        <w:pStyle w:val="Normal"/>
        <w:ind w:left="2880" w:hanging="1800"/>
      </w:pPr>
    </w:lvl>
    <w:lvl w:ilvl="7">
      <w:start w:val="1"/>
      <w:numFmt w:val="decimal"/>
      <w:suff w:val="tab"/>
      <w:lvlText w:val="%1.%2.%3.%4.%5.%6.%7.%8."/>
      <w:lvlJc w:val="left"/>
      <w:pPr>
        <w:pStyle w:val="Normal"/>
        <w:ind w:left="3060" w:hanging="1800"/>
      </w:pPr>
    </w:lvl>
    <w:lvl w:ilvl="8">
      <w:start w:val="1"/>
      <w:numFmt w:val="decimal"/>
      <w:suff w:val="tab"/>
      <w:lvlText w:val="%1.%2.%3.%4.%5.%6.%7.%8.%9."/>
      <w:lvlJc w:val="left"/>
      <w:pPr>
        <w:pStyle w:val="Normal"/>
        <w:ind w:left="3600" w:hanging="2160"/>
      </w:pPr>
    </w:lvl>
  </w:abstractNum>
  <w:abstractNum w:abstractNumId="1">
    <w:multiLevelType w:val="hybridMultilevel"/>
    <w:lvl w:ilvl="0">
      <w:start w:val="6"/>
      <w:numFmt w:val="decimal"/>
      <w:suff w:val="tab"/>
      <w:lvlText w:val="%1"/>
      <w:lvlJc w:val="left"/>
      <w:pPr>
        <w:pStyle w:val="Normal"/>
        <w:ind w:left="375" w:hanging="375"/>
      </w:pPr>
    </w:lvl>
    <w:lvl w:ilvl="1">
      <w:start w:val="1"/>
      <w:numFmt w:val="decimal"/>
      <w:suff w:val="tab"/>
      <w:lvlText w:val="%1.%2"/>
      <w:lvlJc w:val="left"/>
      <w:pPr>
        <w:pStyle w:val="Normal"/>
        <w:ind w:left="375" w:hanging="375"/>
      </w:pPr>
    </w:lvl>
    <w:lvl w:ilvl="2">
      <w:start w:val="1"/>
      <w:numFmt w:val="decimal"/>
      <w:suff w:val="tab"/>
      <w:lvlText w:val="%1.%2.%3"/>
      <w:lvlJc w:val="left"/>
      <w:pPr>
        <w:pStyle w:val="Normal"/>
        <w:ind w:left="720" w:hanging="720"/>
      </w:pPr>
    </w:lvl>
    <w:lvl w:ilvl="3">
      <w:start w:val="1"/>
      <w:numFmt w:val="decimal"/>
      <w:suff w:val="tab"/>
      <w:lvlText w:val="%1.%2.%3.%4"/>
      <w:lvlJc w:val="left"/>
      <w:pPr>
        <w:pStyle w:val="Normal"/>
        <w:ind w:left="1080" w:hanging="1080"/>
      </w:pPr>
    </w:lvl>
    <w:lvl w:ilvl="4">
      <w:start w:val="1"/>
      <w:numFmt w:val="decimal"/>
      <w:suff w:val="tab"/>
      <w:lvlText w:val="%1.%2.%3.%4.%5"/>
      <w:lvlJc w:val="left"/>
      <w:pPr>
        <w:pStyle w:val="Normal"/>
        <w:ind w:left="1080" w:hanging="1080"/>
      </w:pPr>
    </w:lvl>
    <w:lvl w:ilvl="5">
      <w:start w:val="1"/>
      <w:numFmt w:val="decimal"/>
      <w:suff w:val="tab"/>
      <w:lvlText w:val="%1.%2.%3.%4.%5.%6"/>
      <w:lvlJc w:val="left"/>
      <w:pPr>
        <w:pStyle w:val="Normal"/>
        <w:ind w:left="1440" w:hanging="1440"/>
      </w:pPr>
    </w:lvl>
    <w:lvl w:ilvl="6">
      <w:start w:val="1"/>
      <w:numFmt w:val="decimal"/>
      <w:suff w:val="tab"/>
      <w:lvlText w:val="%1.%2.%3.%4.%5.%6.%7"/>
      <w:lvlJc w:val="left"/>
      <w:pPr>
        <w:pStyle w:val="Normal"/>
        <w:ind w:left="1440" w:hanging="1440"/>
      </w:pPr>
    </w:lvl>
    <w:lvl w:ilvl="7">
      <w:start w:val="1"/>
      <w:numFmt w:val="decimal"/>
      <w:suff w:val="tab"/>
      <w:lvlText w:val="%1.%2.%3.%4.%5.%6.%7.%8"/>
      <w:lvlJc w:val="left"/>
      <w:pPr>
        <w:pStyle w:val="Normal"/>
        <w:ind w:left="1800" w:hanging="1800"/>
      </w:pPr>
    </w:lvl>
    <w:lvl w:ilvl="8">
      <w:start w:val="1"/>
      <w:numFmt w:val="decimal"/>
      <w:suff w:val="tab"/>
      <w:lvlText w:val="%1.%2.%3.%4.%5.%6.%7.%8.%9"/>
      <w:lvlJc w:val="left"/>
      <w:pPr>
        <w:pStyle w:val="Normal"/>
        <w:ind w:left="2160" w:hanging="2160"/>
      </w:pPr>
    </w:lvl>
  </w:abstractNum>
  <w:abstractNum w:abstractNumId="2">
    <w:multiLevelType w:val="hybridMultilevel"/>
    <w:lvl w:ilvl="0">
      <w:start w:val="4"/>
      <w:numFmt w:val="decimal"/>
      <w:suff w:val="tab"/>
      <w:lvlText w:val="%1."/>
      <w:lvlJc w:val="left"/>
      <w:pPr>
        <w:pStyle w:val="Normal"/>
        <w:ind w:left="675" w:hanging="675"/>
      </w:pPr>
    </w:lvl>
    <w:lvl w:ilvl="1">
      <w:start w:val="1"/>
      <w:numFmt w:val="decimal"/>
      <w:suff w:val="tab"/>
      <w:lvlText w:val="%1.%2."/>
      <w:lvlJc w:val="left"/>
      <w:pPr>
        <w:pStyle w:val="Normal"/>
        <w:ind w:left="810" w:hanging="720"/>
      </w:pPr>
    </w:lvl>
    <w:lvl w:ilvl="2">
      <w:start w:val="7"/>
      <w:numFmt w:val="decimal"/>
      <w:suff w:val="tab"/>
      <w:lvlText w:val="%1.%2.%3."/>
      <w:lvlJc w:val="left"/>
      <w:pPr>
        <w:pStyle w:val="Normal"/>
        <w:ind w:left="900" w:hanging="720"/>
      </w:pPr>
    </w:lvl>
    <w:lvl w:ilvl="3">
      <w:start w:val="1"/>
      <w:numFmt w:val="decimal"/>
      <w:suff w:val="tab"/>
      <w:lvlText w:val="%1.%2.%3.%4."/>
      <w:lvlJc w:val="left"/>
      <w:pPr>
        <w:pStyle w:val="Normal"/>
        <w:ind w:left="1350" w:hanging="1080"/>
      </w:pPr>
    </w:lvl>
    <w:lvl w:ilvl="4">
      <w:start w:val="1"/>
      <w:numFmt w:val="decimal"/>
      <w:suff w:val="tab"/>
      <w:lvlText w:val="%1.%2.%3.%4.%5."/>
      <w:lvlJc w:val="left"/>
      <w:pPr>
        <w:pStyle w:val="Normal"/>
        <w:ind w:left="1440" w:hanging="1080"/>
      </w:pPr>
    </w:lvl>
    <w:lvl w:ilvl="5">
      <w:start w:val="1"/>
      <w:numFmt w:val="decimal"/>
      <w:suff w:val="tab"/>
      <w:lvlText w:val="%1.%2.%3.%4.%5.%6."/>
      <w:lvlJc w:val="left"/>
      <w:pPr>
        <w:pStyle w:val="Normal"/>
        <w:ind w:left="1890" w:hanging="1440"/>
      </w:pPr>
    </w:lvl>
    <w:lvl w:ilvl="6">
      <w:start w:val="1"/>
      <w:numFmt w:val="decimal"/>
      <w:suff w:val="tab"/>
      <w:lvlText w:val="%1.%2.%3.%4.%5.%6.%7."/>
      <w:lvlJc w:val="left"/>
      <w:pPr>
        <w:pStyle w:val="Normal"/>
        <w:ind w:left="2340" w:hanging="1800"/>
      </w:pPr>
    </w:lvl>
    <w:lvl w:ilvl="7">
      <w:start w:val="1"/>
      <w:numFmt w:val="decimal"/>
      <w:suff w:val="tab"/>
      <w:lvlText w:val="%1.%2.%3.%4.%5.%6.%7.%8."/>
      <w:lvlJc w:val="left"/>
      <w:pPr>
        <w:pStyle w:val="Normal"/>
        <w:ind w:left="2430" w:hanging="1800"/>
      </w:pPr>
    </w:lvl>
    <w:lvl w:ilvl="8">
      <w:start w:val="1"/>
      <w:numFmt w:val="decimal"/>
      <w:suff w:val="tab"/>
      <w:lvlText w:val="%1.%2.%3.%4.%5.%6.%7.%8.%9."/>
      <w:lvlJc w:val="left"/>
      <w:pPr>
        <w:pStyle w:val="Normal"/>
        <w:ind w:left="2880" w:hanging="2160"/>
      </w:pPr>
    </w:lvl>
  </w:abstractNum>
  <w:abstractNum w:abstractNumId="3">
    <w:multiLevelType w:val="hybridMultilevel"/>
    <w:lvl w:ilvl="0">
      <w:start w:val="1"/>
      <w:numFmt w:val="decimal"/>
      <w:suff w:val="tab"/>
      <w:lvlText w:val="%1."/>
      <w:lvlJc w:val="left"/>
      <w:pPr>
        <w:pStyle w:val="Normal"/>
        <w:ind w:left="360" w:hanging="360"/>
      </w:pPr>
    </w:lvl>
    <w:lvl w:ilvl="1">
      <w:start w:val="1"/>
      <w:numFmt w:val="lowerLetter"/>
      <w:suff w:val="tab"/>
      <w:lvlText w:val="%2."/>
      <w:lvlJc w:val="left"/>
      <w:pPr>
        <w:pStyle w:val="Normal"/>
        <w:ind w:left="1080" w:hanging="360"/>
      </w:pPr>
    </w:lvl>
    <w:lvl w:ilvl="2">
      <w:start w:val="1"/>
      <w:numFmt w:val="lowerRoman"/>
      <w:suff w:val="tab"/>
      <w:lvlText w:val="%3."/>
      <w:lvlJc w:val="right"/>
      <w:pPr>
        <w:pStyle w:val="Normal"/>
        <w:ind w:left="1800" w:hanging="180"/>
      </w:pPr>
    </w:lvl>
    <w:lvl w:ilvl="3">
      <w:start w:val="1"/>
      <w:numFmt w:val="decimal"/>
      <w:suff w:val="tab"/>
      <w:lvlText w:val="%4."/>
      <w:lvlJc w:val="left"/>
      <w:pPr>
        <w:pStyle w:val="Normal"/>
        <w:ind w:left="2520" w:hanging="360"/>
      </w:pPr>
    </w:lvl>
    <w:lvl w:ilvl="4">
      <w:start w:val="1"/>
      <w:numFmt w:val="lowerLetter"/>
      <w:suff w:val="tab"/>
      <w:lvlText w:val="%5."/>
      <w:lvlJc w:val="left"/>
      <w:pPr>
        <w:pStyle w:val="Normal"/>
        <w:ind w:left="3240" w:hanging="360"/>
      </w:pPr>
    </w:lvl>
    <w:lvl w:ilvl="5">
      <w:start w:val="1"/>
      <w:numFmt w:val="lowerRoman"/>
      <w:suff w:val="tab"/>
      <w:lvlText w:val="%6."/>
      <w:lvlJc w:val="right"/>
      <w:pPr>
        <w:pStyle w:val="Normal"/>
        <w:ind w:left="3960" w:hanging="180"/>
      </w:pPr>
    </w:lvl>
    <w:lvl w:ilvl="6">
      <w:start w:val="1"/>
      <w:numFmt w:val="decimal"/>
      <w:suff w:val="tab"/>
      <w:lvlText w:val="%7."/>
      <w:lvlJc w:val="left"/>
      <w:pPr>
        <w:pStyle w:val="Normal"/>
        <w:ind w:left="4680" w:hanging="360"/>
      </w:pPr>
    </w:lvl>
    <w:lvl w:ilvl="7">
      <w:start w:val="1"/>
      <w:numFmt w:val="lowerLetter"/>
      <w:suff w:val="tab"/>
      <w:lvlText w:val="%8."/>
      <w:lvlJc w:val="left"/>
      <w:pPr>
        <w:pStyle w:val="Normal"/>
        <w:ind w:left="5400" w:hanging="360"/>
      </w:pPr>
    </w:lvl>
    <w:lvl w:ilvl="8">
      <w:start w:val="1"/>
      <w:numFmt w:val="lowerRoman"/>
      <w:suff w:val="tab"/>
      <w:lvlText w:val="%9."/>
      <w:lvlJc w:val="right"/>
      <w:pPr>
        <w:pStyle w:val="Normal"/>
        <w:ind w:left="6120" w:hanging="180"/>
      </w:pPr>
    </w:lvl>
  </w:abstractNum>
  <w:abstractNum w:abstractNumId="4">
    <w:multiLevelType w:val="hybridMultilevel"/>
    <w:lvl w:ilvl="0">
      <w:start w:val="1"/>
      <w:numFmt w:val="decimal"/>
      <w:suff w:val="tab"/>
      <w:lvlText w:val="%1."/>
      <w:lvlJc w:val="left"/>
      <w:pPr>
        <w:pStyle w:val="Normal"/>
        <w:ind w:left="720" w:hanging="360"/>
      </w:pPr>
    </w:lvl>
    <w:lvl w:ilvl="1">
      <w:start w:val="1"/>
      <w:numFmt w:val="decimal"/>
      <w:suff w:val="tab"/>
      <w:lvlText w:val="%1.%2."/>
      <w:lvlJc w:val="left"/>
      <w:pPr>
        <w:pStyle w:val="Normal"/>
        <w:ind w:left="1080" w:hanging="720"/>
      </w:pPr>
    </w:lvl>
    <w:lvl w:ilvl="2">
      <w:start w:val="1"/>
      <w:numFmt w:val="decimal"/>
      <w:suff w:val="tab"/>
      <w:lvlText w:val="%1.%2.%3."/>
      <w:lvlJc w:val="left"/>
      <w:pPr>
        <w:pStyle w:val="Normal"/>
        <w:ind w:left="1080" w:hanging="720"/>
      </w:pPr>
    </w:lvl>
    <w:lvl w:ilvl="3">
      <w:start w:val="1"/>
      <w:numFmt w:val="decimal"/>
      <w:suff w:val="tab"/>
      <w:lvlText w:val="%1.%2.%3.%4."/>
      <w:lvlJc w:val="left"/>
      <w:pPr>
        <w:pStyle w:val="Normal"/>
        <w:ind w:left="1440" w:hanging="1080"/>
      </w:pPr>
    </w:lvl>
    <w:lvl w:ilvl="4">
      <w:start w:val="1"/>
      <w:numFmt w:val="decimal"/>
      <w:suff w:val="tab"/>
      <w:lvlText w:val="%1.%2.%3.%4.%5."/>
      <w:lvlJc w:val="left"/>
      <w:pPr>
        <w:pStyle w:val="Normal"/>
        <w:ind w:left="1440" w:hanging="1080"/>
      </w:pPr>
    </w:lvl>
    <w:lvl w:ilvl="5">
      <w:start w:val="1"/>
      <w:numFmt w:val="decimal"/>
      <w:suff w:val="tab"/>
      <w:lvlText w:val="%1.%2.%3.%4.%5.%6."/>
      <w:lvlJc w:val="left"/>
      <w:pPr>
        <w:pStyle w:val="Normal"/>
        <w:ind w:left="1800" w:hanging="1440"/>
      </w:pPr>
    </w:lvl>
    <w:lvl w:ilvl="6">
      <w:start w:val="1"/>
      <w:numFmt w:val="decimal"/>
      <w:suff w:val="tab"/>
      <w:lvlText w:val="%1.%2.%3.%4.%5.%6.%7."/>
      <w:lvlJc w:val="left"/>
      <w:pPr>
        <w:pStyle w:val="Normal"/>
        <w:ind w:left="2160" w:hanging="1800"/>
      </w:pPr>
    </w:lvl>
    <w:lvl w:ilvl="7">
      <w:start w:val="1"/>
      <w:numFmt w:val="decimal"/>
      <w:suff w:val="tab"/>
      <w:lvlText w:val="%1.%2.%3.%4.%5.%6.%7.%8."/>
      <w:lvlJc w:val="left"/>
      <w:pPr>
        <w:pStyle w:val="Normal"/>
        <w:ind w:left="2160" w:hanging="1800"/>
      </w:pPr>
    </w:lvl>
    <w:lvl w:ilvl="8">
      <w:start w:val="1"/>
      <w:numFmt w:val="decimal"/>
      <w:suff w:val="tab"/>
      <w:lvlText w:val="%1.%2.%3.%4.%5.%6.%7.%8.%9."/>
      <w:lvlJc w:val="left"/>
      <w:pPr>
        <w:pStyle w:val="Normal"/>
        <w:ind w:left="2520" w:hanging="2160"/>
      </w:pPr>
    </w:lvl>
  </w:abstractNum>
  <w:abstractNum w:abstractNumId="5">
    <w:multiLevelType w:val="hybridMultilevel"/>
    <w:lvl w:ilvl="0">
      <w:start w:val="1"/>
      <w:numFmt w:val="decimal"/>
      <w:suff w:val="tab"/>
      <w:lvlText w:val="%1."/>
      <w:lvlJc w:val="left"/>
      <w:pPr>
        <w:pStyle w:val="Normal"/>
        <w:ind w:left="1068" w:hanging="360"/>
      </w:pPr>
    </w:lvl>
    <w:lvl w:ilvl="1">
      <w:start w:val="1"/>
      <w:numFmt w:val="decimal"/>
      <w:suff w:val="tab"/>
      <w:lvlText w:val="%1.%2."/>
      <w:lvlJc w:val="left"/>
      <w:pPr>
        <w:pStyle w:val="Normal"/>
        <w:ind w:left="1428" w:hanging="720"/>
      </w:pPr>
    </w:lvl>
    <w:lvl w:ilvl="2">
      <w:start w:val="1"/>
      <w:numFmt w:val="decimal"/>
      <w:suff w:val="tab"/>
      <w:lvlText w:val="%1.%2.%3."/>
      <w:lvlJc w:val="left"/>
      <w:pPr>
        <w:pStyle w:val="Normal"/>
        <w:ind w:left="1428" w:hanging="720"/>
      </w:pPr>
    </w:lvl>
    <w:lvl w:ilvl="3">
      <w:start w:val="1"/>
      <w:numFmt w:val="decimal"/>
      <w:suff w:val="tab"/>
      <w:lvlText w:val="%1.%2.%3.%4."/>
      <w:lvlJc w:val="left"/>
      <w:pPr>
        <w:pStyle w:val="Normal"/>
        <w:ind w:left="1788" w:hanging="1080"/>
      </w:pPr>
    </w:lvl>
    <w:lvl w:ilvl="4">
      <w:start w:val="1"/>
      <w:numFmt w:val="decimal"/>
      <w:suff w:val="tab"/>
      <w:lvlText w:val="%1.%2.%3.%4.%5."/>
      <w:lvlJc w:val="left"/>
      <w:pPr>
        <w:pStyle w:val="Normal"/>
        <w:ind w:left="1788" w:hanging="1080"/>
      </w:pPr>
    </w:lvl>
    <w:lvl w:ilvl="5">
      <w:start w:val="1"/>
      <w:numFmt w:val="decimal"/>
      <w:suff w:val="tab"/>
      <w:lvlText w:val="%1.%2.%3.%4.%5.%6."/>
      <w:lvlJc w:val="left"/>
      <w:pPr>
        <w:pStyle w:val="Normal"/>
        <w:ind w:left="2148" w:hanging="1440"/>
      </w:pPr>
    </w:lvl>
    <w:lvl w:ilvl="6">
      <w:start w:val="1"/>
      <w:numFmt w:val="decimal"/>
      <w:suff w:val="tab"/>
      <w:lvlText w:val="%1.%2.%3.%4.%5.%6.%7."/>
      <w:lvlJc w:val="left"/>
      <w:pPr>
        <w:pStyle w:val="Normal"/>
        <w:ind w:left="2508" w:hanging="1800"/>
      </w:pPr>
    </w:lvl>
    <w:lvl w:ilvl="7">
      <w:start w:val="1"/>
      <w:numFmt w:val="decimal"/>
      <w:suff w:val="tab"/>
      <w:lvlText w:val="%1.%2.%3.%4.%5.%6.%7.%8."/>
      <w:lvlJc w:val="left"/>
      <w:pPr>
        <w:pStyle w:val="Normal"/>
        <w:ind w:left="2508" w:hanging="1800"/>
      </w:pPr>
    </w:lvl>
    <w:lvl w:ilvl="8">
      <w:start w:val="1"/>
      <w:numFmt w:val="decimal"/>
      <w:suff w:val="tab"/>
      <w:lvlText w:val="%1.%2.%3.%4.%5.%6.%7.%8.%9."/>
      <w:lvlJc w:val="left"/>
      <w:pPr>
        <w:pStyle w:val="Normal"/>
        <w:ind w:left="2868" w:hanging="2160"/>
      </w:pPr>
    </w:lvl>
  </w:abstractNum>
  <w:abstractNum w:abstractNumId="6">
    <w:multiLevelType w:val="hybridMultilevel"/>
    <w:lvl w:ilvl="0">
      <w:start w:val="1"/>
      <w:numFmt w:val="decimal"/>
      <w:suff w:val="tab"/>
      <w:lvlText w:val="%1."/>
      <w:lvlJc w:val="left"/>
      <w:pPr>
        <w:pStyle w:val="Normal"/>
        <w:ind w:left="720" w:hanging="360"/>
      </w:pPr>
    </w:lvl>
    <w:lvl w:ilvl="1">
      <w:start w:val="1"/>
      <w:numFmt w:val="lowerLetter"/>
      <w:suff w:val="tab"/>
      <w:lvlText w:val="%2."/>
      <w:lvlJc w:val="left"/>
      <w:pPr>
        <w:pStyle w:val="Normal"/>
        <w:ind w:left="1440" w:hanging="360"/>
      </w:pPr>
    </w:lvl>
    <w:lvl w:ilvl="2">
      <w:start w:val="1"/>
      <w:numFmt w:val="lowerRoman"/>
      <w:suff w:val="tab"/>
      <w:lvlText w:val="%3."/>
      <w:lvlJc w:val="right"/>
      <w:pPr>
        <w:pStyle w:val="Normal"/>
        <w:ind w:left="2160" w:hanging="180"/>
      </w:pPr>
    </w:lvl>
    <w:lvl w:ilvl="3">
      <w:start w:val="1"/>
      <w:numFmt w:val="decimal"/>
      <w:suff w:val="tab"/>
      <w:lvlText w:val="%4."/>
      <w:lvlJc w:val="left"/>
      <w:pPr>
        <w:pStyle w:val="Normal"/>
        <w:ind w:left="2880" w:hanging="360"/>
      </w:pPr>
    </w:lvl>
    <w:lvl w:ilvl="4">
      <w:start w:val="1"/>
      <w:numFmt w:val="lowerLetter"/>
      <w:suff w:val="tab"/>
      <w:lvlText w:val="%5."/>
      <w:lvlJc w:val="left"/>
      <w:pPr>
        <w:pStyle w:val="Normal"/>
        <w:ind w:left="3600" w:hanging="360"/>
      </w:pPr>
    </w:lvl>
    <w:lvl w:ilvl="5">
      <w:start w:val="1"/>
      <w:numFmt w:val="lowerRoman"/>
      <w:suff w:val="tab"/>
      <w:lvlText w:val="%6."/>
      <w:lvlJc w:val="right"/>
      <w:pPr>
        <w:pStyle w:val="Normal"/>
        <w:ind w:left="4320" w:hanging="180"/>
      </w:pPr>
    </w:lvl>
    <w:lvl w:ilvl="6">
      <w:start w:val="1"/>
      <w:numFmt w:val="decimal"/>
      <w:suff w:val="tab"/>
      <w:lvlText w:val="%7."/>
      <w:lvlJc w:val="left"/>
      <w:pPr>
        <w:pStyle w:val="Normal"/>
        <w:ind w:left="5040" w:hanging="360"/>
      </w:pPr>
    </w:lvl>
    <w:lvl w:ilvl="7">
      <w:start w:val="1"/>
      <w:numFmt w:val="lowerLetter"/>
      <w:suff w:val="tab"/>
      <w:lvlText w:val="%8."/>
      <w:lvlJc w:val="left"/>
      <w:pPr>
        <w:pStyle w:val="Normal"/>
        <w:ind w:left="5760" w:hanging="360"/>
      </w:pPr>
    </w:lvl>
    <w:lvl w:ilvl="8">
      <w:start w:val="1"/>
      <w:numFmt w:val="lowerRoman"/>
      <w:suff w:val="tab"/>
      <w:lvlText w:val="%9."/>
      <w:lvlJc w:val="right"/>
      <w:pPr>
        <w:pStyle w:val="Normal"/>
        <w:ind w:left="6480" w:hanging="180"/>
      </w:pPr>
    </w:lvl>
  </w:abstractNum>
  <w:abstractNum w:abstractNumId="7">
    <w:multiLevelType w:val="hybridMultilevel"/>
    <w:lvl w:ilvl="0">
      <w:start w:val="4"/>
      <w:numFmt w:val="decimal"/>
      <w:suff w:val="tab"/>
      <w:lvlText w:val="%1."/>
      <w:lvlJc w:val="left"/>
      <w:pPr>
        <w:pStyle w:val="Normal"/>
        <w:ind w:left="675" w:hanging="675"/>
      </w:pPr>
    </w:lvl>
    <w:lvl w:ilvl="1">
      <w:start w:val="1"/>
      <w:numFmt w:val="decimal"/>
      <w:suff w:val="tab"/>
      <w:lvlText w:val="%1.%2."/>
      <w:lvlJc w:val="left"/>
      <w:pPr>
        <w:pStyle w:val="Normal"/>
        <w:ind w:left="1170" w:hanging="720"/>
      </w:pPr>
    </w:lvl>
    <w:lvl w:ilvl="2">
      <w:start w:val="6"/>
      <w:numFmt w:val="decimal"/>
      <w:suff w:val="tab"/>
      <w:lvlText w:val="%1.%2.%3."/>
      <w:lvlJc w:val="left"/>
      <w:pPr>
        <w:pStyle w:val="Normal"/>
        <w:ind w:left="1620" w:hanging="720"/>
      </w:pPr>
    </w:lvl>
    <w:lvl w:ilvl="3">
      <w:start w:val="1"/>
      <w:numFmt w:val="decimal"/>
      <w:suff w:val="tab"/>
      <w:lvlText w:val="%1.%2.%3.%4."/>
      <w:lvlJc w:val="left"/>
      <w:pPr>
        <w:pStyle w:val="Normal"/>
        <w:ind w:left="2430" w:hanging="1080"/>
      </w:pPr>
    </w:lvl>
    <w:lvl w:ilvl="4">
      <w:start w:val="1"/>
      <w:numFmt w:val="decimal"/>
      <w:suff w:val="tab"/>
      <w:lvlText w:val="%1.%2.%3.%4.%5."/>
      <w:lvlJc w:val="left"/>
      <w:pPr>
        <w:pStyle w:val="Normal"/>
        <w:ind w:left="2880" w:hanging="1080"/>
      </w:pPr>
    </w:lvl>
    <w:lvl w:ilvl="5">
      <w:start w:val="1"/>
      <w:numFmt w:val="decimal"/>
      <w:suff w:val="tab"/>
      <w:lvlText w:val="%1.%2.%3.%4.%5.%6."/>
      <w:lvlJc w:val="left"/>
      <w:pPr>
        <w:pStyle w:val="Normal"/>
        <w:ind w:left="3690" w:hanging="1440"/>
      </w:pPr>
    </w:lvl>
    <w:lvl w:ilvl="6">
      <w:start w:val="1"/>
      <w:numFmt w:val="decimal"/>
      <w:suff w:val="tab"/>
      <w:lvlText w:val="%1.%2.%3.%4.%5.%6.%7."/>
      <w:lvlJc w:val="left"/>
      <w:pPr>
        <w:pStyle w:val="Normal"/>
        <w:ind w:left="4500" w:hanging="1800"/>
      </w:pPr>
    </w:lvl>
    <w:lvl w:ilvl="7">
      <w:start w:val="1"/>
      <w:numFmt w:val="decimal"/>
      <w:suff w:val="tab"/>
      <w:lvlText w:val="%1.%2.%3.%4.%5.%6.%7.%8."/>
      <w:lvlJc w:val="left"/>
      <w:pPr>
        <w:pStyle w:val="Normal"/>
        <w:ind w:left="4950" w:hanging="1800"/>
      </w:pPr>
    </w:lvl>
    <w:lvl w:ilvl="8">
      <w:start w:val="1"/>
      <w:numFmt w:val="decimal"/>
      <w:suff w:val="tab"/>
      <w:lvlText w:val="%1.%2.%3.%4.%5.%6.%7.%8.%9."/>
      <w:lvlJc w:val="left"/>
      <w:pPr>
        <w:pStyle w:val="Normal"/>
        <w:ind w:left="5760" w:hanging="2160"/>
      </w:pPr>
    </w:lvl>
  </w:abstractNum>
  <w:num w:numId="1">
    <w:abstractNumId w:val="6"/>
  </w:num>
  <w:num w:numId="2">
    <w:abstractNumId w:val="3"/>
  </w:num>
  <w:num w:numId="3">
    <w:abstractNumId w:val="4"/>
  </w:num>
  <w:num w:numId="4">
    <w:abstractNumId w:val="1"/>
  </w:num>
  <w:num w:numId="5">
    <w:abstractNumId w:val="0"/>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compat>
    <w:spaceForUL w:val="true"/>
    <w:useNormalStyleForList w:val="true"/>
    <w:doNotUseIndentAsNumberingTabStop w:val="true"/>
    <w:useAltKinsokuLineBreakRules w:val="true"/>
    <w:allowSpaceOfSameStyleInTable w:val="true"/>
    <w:doNotSuppressIndentation w:val="true"/>
    <w:doNotAutofitConstrainedTables w:val="true"/>
    <w:autofitToFirstFixedWidthCell w:val="true"/>
    <w:displayHangulFixedWidth w:val="true"/>
    <w:splitPgBreakAndParaMark w:val="true"/>
    <w:doNotVertAlignCellWithSp w:val="true"/>
    <w:doNotBreakConstrainedForcedTable w:val="true"/>
    <w:doNotVertAlignInTxbx w:val="true"/>
    <w:useAnsiKerningPairs w:val="true"/>
    <w:cachedColBalance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ru-RU"/>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Normal">
    <w:name w:val="Normal"/>
    <w:aliases w:val="Обычный"/>
    <w:next w:val="Normal"/>
    <w:link w:val="Normal"/>
    <w:qFormat/>
    <w:pPr>
      <w:spacing w:after="200" w:line="276" w:lineRule="auto"/>
    </w:pPr>
    <w:rPr>
      <w:sz w:val="22"/>
      <w:szCs w:val="22"/>
      <w:lang w:val="ru-RU" w:eastAsia="en-US" w:bidi="ar-SA"/>
    </w:rPr>
  </w:style>
  <w:style w:type="character" w:styleId="NormalCharacter">
    <w:name w:val="Основной шрифт абзаца"/>
    <w:next w:val="NormalCharacter"/>
    <w:link w:val="Normal"/>
    <w:uiPriority w:val="1"/>
    <w:semiHidden/>
    <w:unhideWhenUsed/>
  </w:style>
  <w:style w:type="table" w:styleId="TableNormal">
    <w:name w:val="Обычная таблица"/>
    <w:next w:val="TableNormal"/>
    <w:link w:val="Normal"/>
    <w:uiPriority w:val="99"/>
    <w:semiHidden/>
    <w:unhideWhenUsed/>
    <w:qFormat/>
  </w:style>
  <w:style w:type="numbering" w:styleId="NormalList">
    <w:name w:val="Нет списка"/>
    <w:next w:val="NormalList"/>
    <w:link w:val="Normal"/>
    <w:uiPriority w:val="99"/>
    <w:semiHidden/>
    <w:unhideWhenUsed/>
  </w:style>
  <w:style w:type="paragraph" w:styleId="User">
    <w:name w:val="Без интервала"/>
    <w:next w:val="User"/>
    <w:link w:val="Normal"/>
    <w:uiPriority w:val="1"/>
    <w:qFormat/>
    <w:rPr>
      <w:sz w:val="22"/>
      <w:szCs w:val="22"/>
      <w:lang w:val="ru-RU" w:eastAsia="en-US" w:bidi="ar-SA"/>
    </w:rPr>
  </w:style>
  <w:style w:type="paragraph" w:styleId="179">
    <w:name w:val="Абзац списка"/>
    <w:basedOn w:val="Normal"/>
    <w:next w:val="179"/>
    <w:link w:val="Normal"/>
    <w:uiPriority w:val="34"/>
    <w:qFormat/>
    <w:pPr>
      <w:ind w:left="720"/>
      <w:contextualSpacing/>
    </w:pPr>
  </w:style>
  <w:style w:type="paragraph" w:styleId="Acetate">
    <w:name w:val="Текст выноски"/>
    <w:basedOn w:val="Normal"/>
    <w:next w:val="Acetate"/>
    <w:link w:val="UserStyle_0"/>
    <w:uiPriority w:val="99"/>
    <w:semiHidden/>
    <w:unhideWhenUsed/>
    <w:pPr>
      <w:spacing w:after="0" w:line="240" w:lineRule="auto"/>
    </w:pPr>
    <w:rPr>
      <w:rFonts w:ascii="Tahoma" w:hAnsi="Tahoma" w:cs="Tahoma"/>
      <w:sz w:val="16"/>
      <w:szCs w:val="16"/>
    </w:rPr>
  </w:style>
  <w:style w:type="character" w:styleId="UserStyle_0">
    <w:name w:val="Текст выноски Знак"/>
    <w:next w:val="UserStyle_0"/>
    <w:link w:val="Acetate"/>
    <w:uiPriority w:val="99"/>
    <w:semiHidden/>
    <w:rPr>
      <w:rFonts w:ascii="Tahoma" w:hAnsi="Tahoma" w:cs="Tahoma"/>
      <w:sz w:val="16"/>
      <w:szCs w:val="16"/>
      <w:lang w:eastAsia="en-US"/>
    </w:rPr>
  </w:style>
  <w:style w:type="paragraph" w:styleId="UserStyle_1">
    <w:name w:val="headertext"/>
    <w:basedOn w:val="Normal"/>
    <w:next w:val="UserStyle_1"/>
    <w:link w:val="Normal"/>
    <w:pPr>
      <w:spacing w:before="100" w:beforeAutospacing="1" w:after="100" w:afterAutospacing="1" w:line="240" w:lineRule="auto"/>
    </w:pPr>
    <w:rPr>
      <w:rFonts w:ascii="Times New Roman" w:hAnsi="Times New Roman" w:eastAsia="Times New Roman"/>
      <w:sz w:val="24"/>
      <w:szCs w:val="24"/>
      <w:lang w:eastAsia="ru-RU"/>
    </w:rPr>
  </w:style>
  <w:style w:type="paragraph" w:styleId="UserStyle_2">
    <w:name w:val="formattext"/>
    <w:basedOn w:val="Normal"/>
    <w:next w:val="UserStyle_2"/>
    <w:link w:val="Normal"/>
    <w:pPr>
      <w:spacing w:before="100" w:beforeAutospacing="1" w:after="100" w:afterAutospacing="1" w:line="240" w:lineRule="auto"/>
    </w:pPr>
    <w:rPr>
      <w:rFonts w:ascii="Times New Roman" w:hAnsi="Times New Roman" w:eastAsia="Times New Roman"/>
      <w:sz w:val="24"/>
      <w:szCs w:val="24"/>
      <w:lang w:eastAsia="ru-RU"/>
    </w:rPr>
  </w:style>
  <w:style w:type="character" w:styleId="Hyperlink">
    <w:name w:val="Гиперссылка"/>
    <w:next w:val="Hyperlink"/>
    <w:link w:val="Normal"/>
    <w:uiPriority w:val="99"/>
    <w:semiHidden/>
    <w:unhideWhenUsed/>
    <w:rPr>
      <w:color w:val="0000ff"/>
      <w:u w:val="single"/>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Р7-Офис/2025.4.1.1604</Application>
  <Characters>7417</Characters>
  <CharactersWithSpaces>8701</CharactersWithSpaces>
  <DocSecurity>0</DocSecurity>
  <HyperlinksChanged>false</HyperlinksChanged>
  <Lines>61</Lines>
  <Pages>6</Pages>
  <Paragraphs>17</Paragraphs>
  <ScaleCrop>false</ScaleCrop>
  <SharedDoc>false</SharedDoc>
  <Template>Normal</Template>
  <Words>1301</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Buddo</dc:creator>
  <cp:lastModifiedBy>user</cp:lastModifiedBy>
  <cp:revision>21</cp:revision>
  <dcterms:created xsi:type="dcterms:W3CDTF">2013-08-13T16:30:00Z</dcterms:created>
  <dcterms:modified xsi:type="dcterms:W3CDTF">2025-07-07T12:07:00Z</dcterms:modified>
  <cp:version>917504</cp:version>
</cp:coreProperties>
</file>